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media/image1.jpeg" ContentType="image/jpeg"/>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_rels/header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57" w:after="57"/>
        <w:ind w:left="0" w:right="0" w:hanging="0"/>
        <w:jc w:val="center"/>
        <w:rPr>
          <w:rFonts w:ascii="Verdana" w:hAnsi="Verdana" w:cs="Verdana"/>
          <w:b/>
          <w:sz w:val="20"/>
          <w:szCs w:val="20"/>
        </w:rPr>
      </w:pPr>
      <w:r>
        <w:rPr>
          <w:rFonts w:cs="Verdana" w:ascii="Verdana" w:hAnsi="Verdana"/>
          <w:b/>
          <w:sz w:val="20"/>
          <w:szCs w:val="20"/>
        </w:rPr>
        <w:t>ANEXO II</w:t>
      </w:r>
    </w:p>
    <w:p>
      <w:pPr>
        <w:pStyle w:val="Normal"/>
        <w:spacing w:lineRule="auto" w:line="276" w:before="57" w:after="57"/>
        <w:ind w:left="0" w:right="0" w:hanging="0"/>
        <w:jc w:val="center"/>
        <w:rPr>
          <w:rFonts w:ascii="Verdana" w:hAnsi="Verdana" w:cs="Verdana"/>
          <w:b/>
          <w:sz w:val="20"/>
          <w:szCs w:val="20"/>
        </w:rPr>
      </w:pPr>
      <w:r>
        <w:rPr>
          <w:rFonts w:cs="Verdana" w:ascii="Verdana" w:hAnsi="Verdana"/>
          <w:b/>
          <w:sz w:val="20"/>
          <w:szCs w:val="20"/>
        </w:rPr>
      </w:r>
    </w:p>
    <w:tbl>
      <w:tblPr>
        <w:tblW w:w="9315" w:type="dxa"/>
        <w:jc w:val="left"/>
        <w:tblInd w:w="70" w:type="dxa"/>
        <w:tblLayout w:type="fixed"/>
        <w:tblCellMar>
          <w:top w:w="0" w:type="dxa"/>
          <w:left w:w="70" w:type="dxa"/>
          <w:bottom w:w="0" w:type="dxa"/>
          <w:right w:w="70" w:type="dxa"/>
        </w:tblCellMar>
      </w:tblPr>
      <w:tblGrid>
        <w:gridCol w:w="4253"/>
        <w:gridCol w:w="5062"/>
      </w:tblGrid>
      <w:tr>
        <w:trPr/>
        <w:tc>
          <w:tcPr>
            <w:tcW w:w="4253" w:type="dxa"/>
            <w:tcBorders/>
          </w:tcPr>
          <w:p>
            <w:pPr>
              <w:pStyle w:val="Ttulo1"/>
              <w:spacing w:lineRule="auto" w:line="276" w:before="57" w:after="57"/>
              <w:ind w:left="0" w:right="0" w:hanging="0"/>
              <w:rPr>
                <w:rFonts w:ascii="Verdana" w:hAnsi="Verdana" w:cs="Verdana"/>
                <w:b/>
                <w:sz w:val="20"/>
                <w:szCs w:val="20"/>
                <w:lang w:val="pt-BR" w:eastAsia="pt-BR"/>
              </w:rPr>
            </w:pPr>
            <w:r>
              <w:rPr>
                <w:rFonts w:cs="Verdana" w:ascii="Verdana" w:hAnsi="Verdana"/>
                <w:sz w:val="20"/>
                <w:szCs w:val="20"/>
                <w:lang w:val="pt-BR" w:eastAsia="pt-BR"/>
              </w:rPr>
              <w:t>ATA DE SRP</w:t>
            </w:r>
            <w:r>
              <w:rPr>
                <w:rFonts w:cs="Verdana" w:ascii="Verdana" w:hAnsi="Verdana"/>
                <w:b w:val="false"/>
                <w:sz w:val="20"/>
                <w:szCs w:val="20"/>
                <w:lang w:val="pt-BR" w:eastAsia="pt-BR"/>
              </w:rPr>
              <w:t xml:space="preserve"> </w:t>
            </w:r>
            <w:r>
              <w:rPr>
                <w:rFonts w:cs="Verdana" w:ascii="Verdana" w:hAnsi="Verdana"/>
                <w:sz w:val="20"/>
                <w:szCs w:val="20"/>
                <w:lang w:val="pt-BR" w:eastAsia="pt-BR"/>
              </w:rPr>
              <w:t>Nº __/2023</w:t>
            </w:r>
          </w:p>
          <w:p>
            <w:pPr>
              <w:pStyle w:val="Normal"/>
              <w:spacing w:lineRule="auto" w:line="276" w:before="57" w:after="57"/>
              <w:ind w:left="0" w:right="0" w:hanging="0"/>
              <w:jc w:val="both"/>
              <w:rPr>
                <w:rFonts w:ascii="Verdana" w:hAnsi="Verdana" w:cs="Verdana"/>
                <w:b/>
                <w:sz w:val="20"/>
                <w:szCs w:val="20"/>
                <w:lang w:val="pt-BR" w:eastAsia="pt-BR"/>
              </w:rPr>
            </w:pPr>
            <w:r>
              <w:rPr>
                <w:rFonts w:cs="Verdana" w:ascii="Verdana" w:hAnsi="Verdana"/>
                <w:b/>
                <w:sz w:val="20"/>
                <w:szCs w:val="20"/>
                <w:lang w:val="pt-BR" w:eastAsia="pt-BR"/>
              </w:rPr>
            </w:r>
          </w:p>
        </w:tc>
        <w:tc>
          <w:tcPr>
            <w:tcW w:w="5062" w:type="dxa"/>
            <w:tcBorders/>
          </w:tcPr>
          <w:p>
            <w:pPr>
              <w:pStyle w:val="Normal"/>
              <w:spacing w:lineRule="auto" w:line="276" w:before="57" w:after="57"/>
              <w:ind w:left="0" w:right="0" w:hanging="0"/>
              <w:jc w:val="right"/>
              <w:rPr>
                <w:rFonts w:ascii="Verdana" w:hAnsi="Verdana" w:cs="Verdana"/>
                <w:b/>
                <w:sz w:val="20"/>
                <w:szCs w:val="20"/>
              </w:rPr>
            </w:pPr>
            <w:r>
              <w:rPr>
                <w:rFonts w:cs="Verdana" w:ascii="Verdana" w:hAnsi="Verdana"/>
                <w:b/>
                <w:sz w:val="20"/>
                <w:szCs w:val="20"/>
              </w:rPr>
              <w:t xml:space="preserve">MINUTA DE ATA DE REGISTRO DE PREÇOS </w:t>
            </w:r>
          </w:p>
          <w:p>
            <w:pPr>
              <w:pStyle w:val="Normal"/>
              <w:spacing w:lineRule="auto" w:line="276" w:before="57" w:after="57"/>
              <w:ind w:left="0" w:right="0" w:hanging="0"/>
              <w:jc w:val="right"/>
              <w:rPr>
                <w:rFonts w:ascii="Verdana" w:hAnsi="Verdana" w:cs="Verdana"/>
                <w:b/>
                <w:sz w:val="20"/>
                <w:szCs w:val="20"/>
              </w:rPr>
            </w:pPr>
            <w:r>
              <w:rPr>
                <w:rFonts w:cs="Verdana" w:ascii="Verdana" w:hAnsi="Verdana"/>
                <w:b/>
                <w:sz w:val="20"/>
                <w:szCs w:val="20"/>
              </w:rPr>
              <w:t>VALIDADE: 12 (DOZE) MESES</w:t>
            </w:r>
          </w:p>
        </w:tc>
      </w:tr>
    </w:tbl>
    <w:p>
      <w:pPr>
        <w:pStyle w:val="Normal"/>
        <w:numPr>
          <w:ilvl w:val="0"/>
          <w:numId w:val="0"/>
        </w:numPr>
        <w:spacing w:lineRule="auto" w:line="276" w:before="57" w:after="57"/>
        <w:ind w:left="0" w:right="0" w:hanging="0"/>
        <w:jc w:val="both"/>
        <w:rPr>
          <w:rFonts w:ascii="Verdana" w:hAnsi="Verdana" w:cs="Verdana"/>
          <w:sz w:val="20"/>
          <w:szCs w:val="20"/>
        </w:rPr>
      </w:pPr>
      <w:r>
        <w:rPr>
          <w:rFonts w:cs="Verdana" w:ascii="Verdana" w:hAnsi="Verdana"/>
          <w:sz w:val="20"/>
          <w:szCs w:val="20"/>
        </w:rPr>
      </w:r>
    </w:p>
    <w:p>
      <w:pPr>
        <w:pStyle w:val="Normal"/>
        <w:numPr>
          <w:ilvl w:val="0"/>
          <w:numId w:val="0"/>
        </w:numPr>
        <w:spacing w:lineRule="auto" w:line="276" w:before="57" w:after="57"/>
        <w:ind w:left="0" w:right="0" w:hanging="0"/>
        <w:jc w:val="both"/>
        <w:rPr>
          <w:rFonts w:ascii="Verdana" w:hAnsi="Verdana" w:cs="Verdana"/>
          <w:sz w:val="20"/>
          <w:szCs w:val="20"/>
        </w:rPr>
      </w:pPr>
      <w:r>
        <w:rPr>
          <w:rFonts w:cs="Verdana" w:ascii="Verdana" w:hAnsi="Verdana"/>
          <w:sz w:val="20"/>
          <w:szCs w:val="20"/>
        </w:rPr>
      </w:r>
    </w:p>
    <w:p>
      <w:pPr>
        <w:pStyle w:val="Normal"/>
        <w:numPr>
          <w:ilvl w:val="0"/>
          <w:numId w:val="0"/>
        </w:numPr>
        <w:spacing w:lineRule="auto" w:line="276" w:before="57" w:after="57"/>
        <w:ind w:left="0" w:right="0" w:hanging="0"/>
        <w:jc w:val="both"/>
        <w:rPr>
          <w:rFonts w:ascii="Verdana" w:hAnsi="Verdana" w:cs="Verdana"/>
          <w:b/>
          <w:sz w:val="12"/>
          <w:szCs w:val="12"/>
          <w:u w:val="single"/>
        </w:rPr>
      </w:pPr>
      <w:r>
        <w:rPr>
          <w:rFonts w:cs="Verdana" w:ascii="Verdana" w:hAnsi="Verdana"/>
          <w:b w:val="false"/>
          <w:bCs w:val="false"/>
          <w:sz w:val="20"/>
          <w:szCs w:val="20"/>
          <w:u w:val="none"/>
        </w:rPr>
        <w:t xml:space="preserve">Aos _____ dias do mês de ___________ do ano de 2022, O MUNICÍPIO DE SÃO GABRIEL DA PALHA, ES, com sua sede, sita na Praça Vicente Glazar, nº 159, nesta cidade, inscrita no CNPJ sob o Nº 27.174.143/0001-76, por intermédio do Excelentíssimo Prefeito Municipal, Senhor ______________, brasileiro, casado, residente na _________________, nesta cidade, inscrito no CPF/MF sob o n.º __________________, de acordo com o Art. 11 da Lei Federal 10.520/2002, Decreto Municipal 441/2014, bem como as demais normas legais aplicáveis, em face da classificação das propostas apresentadas no </w:t>
      </w:r>
      <w:r>
        <w:rPr>
          <w:rFonts w:cs="Verdana" w:ascii="Verdana" w:hAnsi="Verdana"/>
          <w:b/>
          <w:bCs/>
          <w:color w:val="C9211E"/>
          <w:sz w:val="20"/>
          <w:szCs w:val="20"/>
          <w:u w:val="none"/>
        </w:rPr>
        <w:t>Pregão Eletrônico 079/2023, para Registro de Preços,</w:t>
      </w:r>
      <w:r>
        <w:rPr>
          <w:rFonts w:cs="Verdana" w:ascii="Verdana" w:hAnsi="Verdana"/>
          <w:b w:val="false"/>
          <w:bCs w:val="false"/>
          <w:sz w:val="20"/>
          <w:szCs w:val="20"/>
          <w:u w:val="none"/>
        </w:rPr>
        <w:t xml:space="preserve"> resolve, registrar os preços vencidos no referido pregão pela empresa ______________________, CNPJ nº _______________, classificada em primeiro lugar no certame supracitado.</w:t>
      </w:r>
    </w:p>
    <w:p>
      <w:pPr>
        <w:pStyle w:val="Normal"/>
        <w:numPr>
          <w:ilvl w:val="0"/>
          <w:numId w:val="0"/>
        </w:numPr>
        <w:spacing w:lineRule="auto" w:line="276" w:before="57" w:after="57"/>
        <w:ind w:left="0" w:right="0" w:hanging="0"/>
        <w:jc w:val="both"/>
        <w:rPr>
          <w:rFonts w:ascii="Verdana" w:hAnsi="Verdana" w:cs="Verdana"/>
          <w:b/>
          <w:sz w:val="12"/>
          <w:szCs w:val="12"/>
          <w:u w:val="single"/>
        </w:rPr>
      </w:pPr>
      <w:r>
        <w:rPr>
          <w:rFonts w:cs="Verdana" w:ascii="Verdana" w:hAnsi="Verdana"/>
          <w:b/>
          <w:sz w:val="12"/>
          <w:szCs w:val="12"/>
          <w:u w:val="single"/>
        </w:rPr>
      </w:r>
    </w:p>
    <w:p>
      <w:pPr>
        <w:pStyle w:val="Normal"/>
        <w:numPr>
          <w:ilvl w:val="0"/>
          <w:numId w:val="0"/>
        </w:numPr>
        <w:spacing w:lineRule="auto" w:line="276" w:before="57" w:after="57"/>
        <w:ind w:left="0" w:right="0" w:hanging="0"/>
        <w:jc w:val="both"/>
        <w:rPr>
          <w:rFonts w:ascii="Verdana" w:hAnsi="Verdana" w:cs="Verdana"/>
          <w:b/>
          <w:sz w:val="20"/>
          <w:szCs w:val="20"/>
        </w:rPr>
      </w:pPr>
      <w:r>
        <w:rPr>
          <w:rFonts w:cs="Verdana" w:ascii="Verdana" w:hAnsi="Verdana"/>
          <w:b/>
          <w:sz w:val="20"/>
          <w:szCs w:val="20"/>
          <w:u w:val="single"/>
        </w:rPr>
        <w:t>CLÁUSULA PRIMEIRA – DO OBJETO</w:t>
      </w:r>
    </w:p>
    <w:p>
      <w:pPr>
        <w:pStyle w:val="Normal"/>
        <w:tabs>
          <w:tab w:val="clear" w:pos="708"/>
          <w:tab w:val="left" w:pos="10348" w:leader="none"/>
        </w:tabs>
        <w:spacing w:lineRule="auto" w:line="276" w:before="57" w:after="57"/>
        <w:ind w:left="0" w:right="0" w:hanging="0"/>
        <w:jc w:val="both"/>
        <w:rPr>
          <w:rFonts w:ascii="Verdana" w:hAnsi="Verdana" w:cs="Verdana"/>
          <w:b/>
          <w:sz w:val="20"/>
          <w:szCs w:val="20"/>
        </w:rPr>
      </w:pPr>
      <w:r>
        <w:rPr>
          <w:rFonts w:cs="Verdana" w:ascii="Verdana" w:hAnsi="Verdana"/>
          <w:b/>
          <w:sz w:val="20"/>
          <w:szCs w:val="20"/>
        </w:rPr>
        <w:t xml:space="preserve">1.1 – OBJETO: </w:t>
      </w:r>
      <w:r>
        <w:rPr>
          <w:rFonts w:cs="Verdana" w:ascii="Verdana" w:hAnsi="Verdana"/>
          <w:sz w:val="20"/>
          <w:szCs w:val="20"/>
        </w:rPr>
        <w:t xml:space="preserve">Esta Ata tem por objeto o </w:t>
      </w:r>
      <w:r>
        <w:rPr>
          <w:rFonts w:eastAsia="Batang;바탕" w:cs="Verdana" w:ascii="Verdana" w:hAnsi="Verdana"/>
          <w:b/>
          <w:i/>
          <w:sz w:val="20"/>
          <w:szCs w:val="20"/>
        </w:rPr>
        <w:t>Registro de Preços,</w:t>
      </w:r>
      <w:r>
        <w:rPr>
          <w:rFonts w:eastAsia="Batang;바탕" w:cs="Verdana" w:ascii="Verdana" w:hAnsi="Verdana"/>
          <w:sz w:val="20"/>
          <w:szCs w:val="20"/>
        </w:rPr>
        <w:t xml:space="preserve"> </w:t>
      </w:r>
      <w:r>
        <w:rPr>
          <w:rFonts w:eastAsia="Arial" w:cs="Verdana" w:ascii="Verdana" w:hAnsi="Verdana"/>
          <w:color w:val="000000"/>
          <w:sz w:val="20"/>
          <w:szCs w:val="20"/>
          <w:lang w:eastAsia="en-US"/>
        </w:rPr>
        <w:t>para futura e eventual aquisição de materiais de higiene, limpeza/consumo para atender as Escolas da Rede Municipal de Ensino e a Secretaria Municipal de Educação.</w:t>
      </w:r>
    </w:p>
    <w:p>
      <w:pPr>
        <w:pStyle w:val="Normal"/>
        <w:tabs>
          <w:tab w:val="clear" w:pos="708"/>
          <w:tab w:val="left" w:pos="10348" w:leader="none"/>
        </w:tabs>
        <w:spacing w:lineRule="auto" w:line="276" w:before="57" w:after="57"/>
        <w:ind w:left="0" w:right="0" w:hanging="0"/>
        <w:jc w:val="both"/>
        <w:rPr>
          <w:rFonts w:ascii="Verdana" w:hAnsi="Verdana" w:cs="Verdana"/>
          <w:b/>
          <w:sz w:val="12"/>
          <w:szCs w:val="12"/>
          <w:u w:val="single"/>
        </w:rPr>
      </w:pPr>
      <w:r>
        <w:rPr>
          <w:rFonts w:cs="Verdana" w:ascii="Verdana" w:hAnsi="Verdana"/>
          <w:b/>
          <w:sz w:val="20"/>
          <w:szCs w:val="20"/>
        </w:rPr>
        <w:t xml:space="preserve">1.2 – </w:t>
      </w:r>
      <w:r>
        <w:rPr>
          <w:rFonts w:cs="Verdana" w:ascii="Verdana" w:hAnsi="Verdana"/>
          <w:sz w:val="20"/>
          <w:szCs w:val="20"/>
        </w:rPr>
        <w:t>A existência de preço registrado não obriga a Administração a contratar a respectiva FORNECEDORA, sendo-lhe facultada a utilização de outros meios permitidos pela legislação relativa às licitações, sem cabimento de recurso, sendo assegurado ao beneficiário do registro de preços preferência em igualdades de condições.</w:t>
      </w:r>
    </w:p>
    <w:p>
      <w:pPr>
        <w:pStyle w:val="Normal"/>
        <w:numPr>
          <w:ilvl w:val="0"/>
          <w:numId w:val="0"/>
        </w:numPr>
        <w:spacing w:lineRule="auto" w:line="276" w:before="57" w:after="57"/>
        <w:ind w:left="0" w:right="0" w:hanging="0"/>
        <w:jc w:val="both"/>
        <w:rPr>
          <w:rFonts w:ascii="Verdana" w:hAnsi="Verdana" w:cs="Verdana"/>
          <w:b/>
          <w:sz w:val="12"/>
          <w:szCs w:val="12"/>
          <w:u w:val="single"/>
        </w:rPr>
      </w:pPr>
      <w:r>
        <w:rPr>
          <w:rFonts w:cs="Verdana" w:ascii="Verdana" w:hAnsi="Verdana"/>
          <w:b/>
          <w:sz w:val="12"/>
          <w:szCs w:val="12"/>
          <w:u w:val="single"/>
        </w:rPr>
      </w:r>
    </w:p>
    <w:p>
      <w:pPr>
        <w:pStyle w:val="Normal"/>
        <w:numPr>
          <w:ilvl w:val="0"/>
          <w:numId w:val="0"/>
        </w:numPr>
        <w:spacing w:lineRule="auto" w:line="276" w:before="57" w:after="57"/>
        <w:ind w:left="0" w:right="0" w:hanging="0"/>
        <w:jc w:val="both"/>
        <w:rPr>
          <w:rFonts w:ascii="Verdana" w:hAnsi="Verdana" w:cs="Verdana"/>
          <w:b/>
          <w:sz w:val="20"/>
          <w:szCs w:val="20"/>
        </w:rPr>
      </w:pPr>
      <w:r>
        <w:rPr>
          <w:rFonts w:cs="Verdana" w:ascii="Verdana" w:hAnsi="Verdana"/>
          <w:b/>
          <w:sz w:val="20"/>
          <w:szCs w:val="20"/>
          <w:u w:val="single"/>
        </w:rPr>
        <w:t>CLÁUSULA SEGUNDA – DA VALIDADE DOS PREÇOS</w:t>
      </w:r>
    </w:p>
    <w:p>
      <w:pPr>
        <w:pStyle w:val="Normal"/>
        <w:spacing w:lineRule="auto" w:line="276" w:before="57" w:after="57"/>
        <w:ind w:left="0" w:right="0" w:hanging="0"/>
        <w:jc w:val="both"/>
        <w:rPr>
          <w:rFonts w:ascii="Verdana" w:hAnsi="Verdana" w:cs="Verdana"/>
          <w:b/>
          <w:sz w:val="20"/>
          <w:szCs w:val="20"/>
        </w:rPr>
      </w:pPr>
      <w:r>
        <w:rPr>
          <w:rFonts w:cs="Verdana" w:ascii="Verdana" w:hAnsi="Verdana"/>
          <w:b/>
          <w:sz w:val="20"/>
          <w:szCs w:val="20"/>
        </w:rPr>
        <w:t>2.1 –</w:t>
      </w:r>
      <w:r>
        <w:rPr>
          <w:rFonts w:cs="Verdana" w:ascii="Verdana" w:hAnsi="Verdana"/>
          <w:sz w:val="20"/>
          <w:szCs w:val="20"/>
        </w:rPr>
        <w:t xml:space="preserve"> Esta </w:t>
      </w:r>
      <w:r>
        <w:rPr>
          <w:rFonts w:eastAsia="Times New Roman" w:cs="Verdana" w:ascii="Verdana" w:hAnsi="Verdana"/>
          <w:color w:val="auto"/>
          <w:sz w:val="20"/>
          <w:szCs w:val="20"/>
          <w:lang w:val="pt-BR" w:eastAsia="zh-CN" w:bidi="ar-SA"/>
        </w:rPr>
        <w:t>A</w:t>
      </w:r>
      <w:r>
        <w:rPr>
          <w:rFonts w:cs="Verdana" w:ascii="Verdana" w:hAnsi="Verdana"/>
          <w:sz w:val="20"/>
          <w:szCs w:val="20"/>
        </w:rPr>
        <w:t xml:space="preserve">ta de </w:t>
      </w:r>
      <w:r>
        <w:rPr>
          <w:rFonts w:eastAsia="Times New Roman" w:cs="Verdana" w:ascii="Verdana" w:hAnsi="Verdana"/>
          <w:color w:val="auto"/>
          <w:sz w:val="20"/>
          <w:szCs w:val="20"/>
          <w:lang w:val="pt-BR" w:eastAsia="zh-CN" w:bidi="ar-SA"/>
        </w:rPr>
        <w:t>R</w:t>
      </w:r>
      <w:r>
        <w:rPr>
          <w:rFonts w:cs="Verdana" w:ascii="Verdana" w:hAnsi="Verdana"/>
          <w:sz w:val="20"/>
          <w:szCs w:val="20"/>
        </w:rPr>
        <w:t xml:space="preserve">egistro de </w:t>
      </w:r>
      <w:r>
        <w:rPr>
          <w:rFonts w:eastAsia="Times New Roman" w:cs="Verdana" w:ascii="Verdana" w:hAnsi="Verdana"/>
          <w:color w:val="auto"/>
          <w:sz w:val="20"/>
          <w:szCs w:val="20"/>
          <w:lang w:val="pt-BR" w:eastAsia="zh-CN" w:bidi="ar-SA"/>
        </w:rPr>
        <w:t>P</w:t>
      </w:r>
      <w:r>
        <w:rPr>
          <w:rFonts w:cs="Verdana" w:ascii="Verdana" w:hAnsi="Verdana"/>
          <w:sz w:val="20"/>
          <w:szCs w:val="20"/>
        </w:rPr>
        <w:t>reços, documento vinculativo obrigacional, com característica de compromisso para futura contratação</w:t>
      </w:r>
      <w:r>
        <w:rPr>
          <w:rFonts w:cs="Verdana" w:ascii="Verdana" w:hAnsi="Verdana"/>
          <w:b/>
          <w:sz w:val="20"/>
          <w:szCs w:val="20"/>
        </w:rPr>
        <w:t xml:space="preserve">, </w:t>
      </w:r>
      <w:r>
        <w:rPr>
          <w:rFonts w:cs="Verdana" w:ascii="Verdana" w:hAnsi="Verdana"/>
          <w:b/>
          <w:color w:val="FF0000"/>
          <w:sz w:val="20"/>
          <w:szCs w:val="20"/>
        </w:rPr>
        <w:t>terá validade de 12 (doze) meses,</w:t>
      </w:r>
      <w:r>
        <w:rPr>
          <w:rFonts w:cs="Verdana" w:ascii="Verdana" w:hAnsi="Verdana"/>
          <w:sz w:val="20"/>
          <w:szCs w:val="20"/>
        </w:rPr>
        <w:t xml:space="preserve"> contado do dia posterior da data de sua publicação. </w:t>
      </w:r>
    </w:p>
    <w:p>
      <w:pPr>
        <w:pStyle w:val="Normal"/>
        <w:spacing w:lineRule="auto" w:line="276" w:before="57" w:after="57"/>
        <w:ind w:left="0" w:right="0" w:hanging="0"/>
        <w:jc w:val="both"/>
        <w:rPr>
          <w:rFonts w:ascii="Verdana" w:hAnsi="Verdana" w:cs="Verdana"/>
          <w:b/>
          <w:sz w:val="12"/>
          <w:szCs w:val="12"/>
          <w:u w:val="single"/>
        </w:rPr>
      </w:pPr>
      <w:r>
        <w:rPr>
          <w:rFonts w:cs="Verdana" w:ascii="Verdana" w:hAnsi="Verdana"/>
          <w:b/>
          <w:sz w:val="20"/>
          <w:szCs w:val="20"/>
        </w:rPr>
        <w:t>2.2 –</w:t>
      </w:r>
      <w:r>
        <w:rPr>
          <w:rFonts w:cs="Verdana" w:ascii="Verdana" w:hAnsi="Verdana"/>
          <w:sz w:val="20"/>
          <w:szCs w:val="20"/>
        </w:rPr>
        <w:t xml:space="preserve"> A partir da Assinatura da Ata de Registro de Preços, o FORNECEDOR assume o compromisso de atender durante o prazo de sua vigência, os contratos de serviço e se obriga a cumprir na íntegra, todas as condições estabelecidas, ficando sujeito, inclusive as sanções administrativas pelo descumprimento de quaisquer de suas cláusulas, preservando o contraditório e ampla defesa.</w:t>
      </w:r>
    </w:p>
    <w:p>
      <w:pPr>
        <w:pStyle w:val="Normal"/>
        <w:numPr>
          <w:ilvl w:val="0"/>
          <w:numId w:val="0"/>
        </w:numPr>
        <w:spacing w:lineRule="auto" w:line="276" w:before="57" w:after="57"/>
        <w:ind w:left="0" w:right="0" w:hanging="0"/>
        <w:jc w:val="both"/>
        <w:rPr>
          <w:rFonts w:ascii="Verdana" w:hAnsi="Verdana" w:cs="Verdana"/>
          <w:b/>
          <w:sz w:val="12"/>
          <w:szCs w:val="12"/>
          <w:u w:val="single"/>
        </w:rPr>
      </w:pPr>
      <w:r>
        <w:rPr>
          <w:rFonts w:cs="Verdana" w:ascii="Verdana" w:hAnsi="Verdana"/>
          <w:b/>
          <w:sz w:val="12"/>
          <w:szCs w:val="12"/>
          <w:u w:val="single"/>
        </w:rPr>
      </w:r>
    </w:p>
    <w:p>
      <w:pPr>
        <w:pStyle w:val="Normal"/>
        <w:numPr>
          <w:ilvl w:val="0"/>
          <w:numId w:val="0"/>
        </w:numPr>
        <w:spacing w:lineRule="auto" w:line="276" w:before="57" w:after="57"/>
        <w:ind w:left="0" w:right="0" w:hanging="0"/>
        <w:jc w:val="both"/>
        <w:rPr>
          <w:rFonts w:ascii="Verdana" w:hAnsi="Verdana" w:cs="Verdana"/>
          <w:b/>
          <w:sz w:val="20"/>
          <w:szCs w:val="20"/>
        </w:rPr>
      </w:pPr>
      <w:r>
        <w:rPr>
          <w:rFonts w:cs="Verdana" w:ascii="Verdana" w:hAnsi="Verdana"/>
          <w:b/>
          <w:sz w:val="20"/>
          <w:szCs w:val="20"/>
          <w:u w:val="single"/>
        </w:rPr>
        <w:t>CLÁUSULA TERCEIRA – DO PREÇO E REVISÃO</w:t>
      </w:r>
    </w:p>
    <w:p>
      <w:pPr>
        <w:pStyle w:val="Normal"/>
        <w:spacing w:lineRule="auto" w:line="276" w:before="57" w:after="57"/>
        <w:ind w:left="0" w:right="0" w:hanging="0"/>
        <w:jc w:val="both"/>
        <w:rPr>
          <w:rFonts w:ascii="Verdana" w:hAnsi="Verdana" w:cs="Verdana"/>
          <w:b/>
          <w:color w:val="000000"/>
          <w:sz w:val="20"/>
          <w:szCs w:val="20"/>
        </w:rPr>
      </w:pPr>
      <w:r>
        <w:rPr>
          <w:rFonts w:cs="Verdana" w:ascii="Verdana" w:hAnsi="Verdana"/>
          <w:b/>
          <w:sz w:val="20"/>
          <w:szCs w:val="20"/>
        </w:rPr>
        <w:t xml:space="preserve">3.1 – </w:t>
      </w:r>
      <w:r>
        <w:rPr>
          <w:rFonts w:cs="Verdana" w:ascii="Verdana" w:hAnsi="Verdana"/>
          <w:sz w:val="20"/>
          <w:szCs w:val="20"/>
        </w:rPr>
        <w:t>O preço registrado e as especificações encontram-se a seguir discriminados:</w:t>
      </w:r>
    </w:p>
    <w:tbl>
      <w:tblPr>
        <w:tblW w:w="9300" w:type="dxa"/>
        <w:jc w:val="left"/>
        <w:tblInd w:w="64" w:type="dxa"/>
        <w:tblLayout w:type="fixed"/>
        <w:tblCellMar>
          <w:top w:w="0" w:type="dxa"/>
          <w:left w:w="70" w:type="dxa"/>
          <w:bottom w:w="0" w:type="dxa"/>
          <w:right w:w="70" w:type="dxa"/>
        </w:tblCellMar>
      </w:tblPr>
      <w:tblGrid>
        <w:gridCol w:w="735"/>
        <w:gridCol w:w="1080"/>
        <w:gridCol w:w="690"/>
        <w:gridCol w:w="4365"/>
        <w:gridCol w:w="1110"/>
        <w:gridCol w:w="1320"/>
      </w:tblGrid>
      <w:tr>
        <w:trPr>
          <w:trHeight w:val="531" w:hRule="atLeast"/>
          <w:cantSplit w:val="true"/>
        </w:trPr>
        <w:tc>
          <w:tcPr>
            <w:tcW w:w="735" w:type="dxa"/>
            <w:tcBorders>
              <w:top w:val="single" w:sz="4" w:space="0" w:color="000000"/>
              <w:left w:val="single" w:sz="4" w:space="0" w:color="000000"/>
              <w:bottom w:val="single" w:sz="4" w:space="0" w:color="000000"/>
            </w:tcBorders>
            <w:vAlign w:val="center"/>
          </w:tcPr>
          <w:p>
            <w:pPr>
              <w:pStyle w:val="Normal"/>
              <w:spacing w:lineRule="auto" w:line="276" w:before="57" w:after="57"/>
              <w:ind w:left="0" w:right="0" w:hanging="0"/>
              <w:jc w:val="center"/>
              <w:rPr>
                <w:rFonts w:ascii="Verdana" w:hAnsi="Verdana" w:cs="Verdana"/>
                <w:b/>
                <w:color w:val="000000"/>
                <w:sz w:val="20"/>
                <w:szCs w:val="20"/>
              </w:rPr>
            </w:pPr>
            <w:r>
              <w:rPr>
                <w:rFonts w:cs="Verdana" w:ascii="Verdana" w:hAnsi="Verdana"/>
                <w:b/>
                <w:color w:val="000000"/>
                <w:sz w:val="20"/>
                <w:szCs w:val="20"/>
              </w:rPr>
              <w:t>ITEM</w:t>
            </w:r>
          </w:p>
        </w:tc>
        <w:tc>
          <w:tcPr>
            <w:tcW w:w="1080" w:type="dxa"/>
            <w:tcBorders>
              <w:top w:val="single" w:sz="4" w:space="0" w:color="000000"/>
              <w:left w:val="single" w:sz="4" w:space="0" w:color="000000"/>
              <w:bottom w:val="single" w:sz="4" w:space="0" w:color="000000"/>
            </w:tcBorders>
            <w:vAlign w:val="center"/>
          </w:tcPr>
          <w:p>
            <w:pPr>
              <w:pStyle w:val="Normal"/>
              <w:spacing w:lineRule="auto" w:line="276" w:before="57" w:after="57"/>
              <w:ind w:left="0" w:right="0" w:hanging="0"/>
              <w:jc w:val="center"/>
              <w:rPr>
                <w:rFonts w:ascii="Verdana" w:hAnsi="Verdana" w:cs="Verdana"/>
                <w:b/>
                <w:color w:val="000000"/>
                <w:sz w:val="20"/>
                <w:szCs w:val="20"/>
              </w:rPr>
            </w:pPr>
            <w:r>
              <w:rPr>
                <w:rFonts w:cs="Verdana" w:ascii="Verdana" w:hAnsi="Verdana"/>
                <w:b/>
                <w:color w:val="000000"/>
                <w:sz w:val="20"/>
                <w:szCs w:val="20"/>
              </w:rPr>
              <w:t>QUANT</w:t>
            </w:r>
          </w:p>
        </w:tc>
        <w:tc>
          <w:tcPr>
            <w:tcW w:w="690" w:type="dxa"/>
            <w:tcBorders>
              <w:top w:val="single" w:sz="4" w:space="0" w:color="000000"/>
              <w:left w:val="single" w:sz="4" w:space="0" w:color="000000"/>
              <w:bottom w:val="single" w:sz="4" w:space="0" w:color="000000"/>
            </w:tcBorders>
            <w:vAlign w:val="center"/>
          </w:tcPr>
          <w:p>
            <w:pPr>
              <w:pStyle w:val="Normal"/>
              <w:spacing w:lineRule="auto" w:line="276" w:before="57" w:after="57"/>
              <w:ind w:left="0" w:right="0" w:hanging="0"/>
              <w:jc w:val="center"/>
              <w:rPr>
                <w:rFonts w:ascii="Verdana" w:hAnsi="Verdana" w:cs="Verdana"/>
                <w:b/>
                <w:color w:val="000000"/>
                <w:sz w:val="20"/>
                <w:szCs w:val="20"/>
              </w:rPr>
            </w:pPr>
            <w:r>
              <w:rPr>
                <w:rFonts w:cs="Verdana" w:ascii="Verdana" w:hAnsi="Verdana"/>
                <w:b/>
                <w:color w:val="000000"/>
                <w:sz w:val="20"/>
                <w:szCs w:val="20"/>
              </w:rPr>
              <w:t>UND</w:t>
            </w:r>
          </w:p>
        </w:tc>
        <w:tc>
          <w:tcPr>
            <w:tcW w:w="4365" w:type="dxa"/>
            <w:tcBorders>
              <w:top w:val="single" w:sz="4" w:space="0" w:color="000000"/>
              <w:left w:val="single" w:sz="4" w:space="0" w:color="000000"/>
              <w:bottom w:val="single" w:sz="4" w:space="0" w:color="000000"/>
            </w:tcBorders>
            <w:vAlign w:val="center"/>
          </w:tcPr>
          <w:p>
            <w:pPr>
              <w:pStyle w:val="Normal"/>
              <w:spacing w:lineRule="auto" w:line="276" w:before="57" w:after="57"/>
              <w:ind w:left="0" w:right="0" w:hanging="0"/>
              <w:jc w:val="center"/>
              <w:rPr>
                <w:rFonts w:ascii="Verdana" w:hAnsi="Verdana" w:cs="Verdana"/>
                <w:b/>
                <w:color w:val="000000"/>
                <w:sz w:val="20"/>
                <w:szCs w:val="20"/>
              </w:rPr>
            </w:pPr>
            <w:r>
              <w:rPr>
                <w:rFonts w:cs="Verdana" w:ascii="Verdana" w:hAnsi="Verdana"/>
                <w:b/>
                <w:color w:val="000000"/>
                <w:sz w:val="20"/>
                <w:szCs w:val="20"/>
              </w:rPr>
              <w:t>DISCRIMINAÇÃO</w:t>
            </w:r>
          </w:p>
        </w:tc>
        <w:tc>
          <w:tcPr>
            <w:tcW w:w="1110" w:type="dxa"/>
            <w:tcBorders>
              <w:top w:val="single" w:sz="4" w:space="0" w:color="000000"/>
              <w:left w:val="single" w:sz="4" w:space="0" w:color="000000"/>
              <w:bottom w:val="single" w:sz="4" w:space="0" w:color="000000"/>
            </w:tcBorders>
            <w:vAlign w:val="center"/>
          </w:tcPr>
          <w:p>
            <w:pPr>
              <w:pStyle w:val="Normal"/>
              <w:spacing w:lineRule="auto" w:line="276" w:before="57" w:after="57"/>
              <w:ind w:left="0" w:right="0" w:hanging="0"/>
              <w:jc w:val="center"/>
              <w:rPr>
                <w:rFonts w:ascii="Verdana" w:hAnsi="Verdana" w:cs="Verdana"/>
                <w:b/>
                <w:color w:val="000000"/>
                <w:sz w:val="20"/>
                <w:szCs w:val="20"/>
              </w:rPr>
            </w:pPr>
            <w:r>
              <w:rPr>
                <w:rFonts w:cs="Verdana" w:ascii="Verdana" w:hAnsi="Verdana"/>
                <w:b/>
                <w:color w:val="000000"/>
                <w:sz w:val="20"/>
                <w:szCs w:val="20"/>
              </w:rPr>
              <w:t>VLR. UNIT</w:t>
            </w:r>
          </w:p>
        </w:tc>
        <w:tc>
          <w:tcPr>
            <w:tcW w:w="132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before="57" w:after="57"/>
              <w:ind w:left="0" w:right="0" w:hanging="0"/>
              <w:jc w:val="center"/>
              <w:rPr>
                <w:rFonts w:ascii="Verdana" w:hAnsi="Verdana" w:cs="Verdana"/>
                <w:b/>
                <w:color w:val="000000"/>
                <w:sz w:val="20"/>
                <w:szCs w:val="20"/>
              </w:rPr>
            </w:pPr>
            <w:r>
              <w:rPr>
                <w:rFonts w:cs="Verdana" w:ascii="Verdana" w:hAnsi="Verdana"/>
                <w:b/>
                <w:color w:val="000000"/>
                <w:sz w:val="20"/>
                <w:szCs w:val="20"/>
              </w:rPr>
              <w:t>VLR. TOTAL</w:t>
            </w:r>
          </w:p>
        </w:tc>
      </w:tr>
    </w:tbl>
    <w:p>
      <w:pPr>
        <w:pStyle w:val="Normal"/>
        <w:spacing w:lineRule="auto" w:line="276" w:before="57" w:after="57"/>
        <w:ind w:left="0" w:right="0" w:hanging="0"/>
        <w:jc w:val="both"/>
        <w:rPr>
          <w:rFonts w:ascii="Verdana" w:hAnsi="Verdana" w:cs="Verdana"/>
          <w:b/>
          <w:sz w:val="20"/>
          <w:szCs w:val="20"/>
        </w:rPr>
      </w:pPr>
      <w:r>
        <w:rPr>
          <w:rFonts w:cs="Verdana" w:ascii="Verdana" w:hAnsi="Verdana"/>
          <w:b/>
          <w:sz w:val="20"/>
          <w:szCs w:val="20"/>
        </w:rPr>
        <w:t>3.2</w:t>
      </w:r>
      <w:r>
        <w:rPr>
          <w:rFonts w:cs="Verdana" w:ascii="Verdana" w:hAnsi="Verdana"/>
          <w:sz w:val="20"/>
          <w:szCs w:val="20"/>
        </w:rPr>
        <w:t xml:space="preserve"> </w:t>
      </w:r>
      <w:r>
        <w:rPr>
          <w:rFonts w:cs="Verdana" w:ascii="Verdana" w:hAnsi="Verdana"/>
          <w:b/>
          <w:sz w:val="20"/>
          <w:szCs w:val="20"/>
        </w:rPr>
        <w:t>–</w:t>
      </w:r>
      <w:r>
        <w:rPr>
          <w:rFonts w:cs="Verdana" w:ascii="Verdana" w:hAnsi="Verdana"/>
          <w:sz w:val="20"/>
          <w:szCs w:val="20"/>
        </w:rPr>
        <w:t xml:space="preserve"> O preço e o fornecedor ora registrado decorre da classificação do </w:t>
      </w:r>
      <w:r>
        <w:rPr>
          <w:rFonts w:cs="Verdana" w:ascii="Verdana" w:hAnsi="Verdana"/>
          <w:b/>
          <w:bCs/>
          <w:color w:val="C9211E"/>
          <w:sz w:val="20"/>
          <w:szCs w:val="20"/>
          <w:u w:val="none"/>
        </w:rPr>
        <w:t>Pregão Eletrônico nº 079/2023,</w:t>
      </w:r>
      <w:r>
        <w:rPr>
          <w:rFonts w:cs="Verdana" w:ascii="Verdana" w:hAnsi="Verdana"/>
          <w:sz w:val="20"/>
          <w:szCs w:val="20"/>
        </w:rPr>
        <w:t xml:space="preserve"> processado nos moldes do ato convocatório, ao qual se vincula à presente ata de registro de preços para todos os efeitos.</w:t>
      </w:r>
    </w:p>
    <w:p>
      <w:pPr>
        <w:pStyle w:val="Normal"/>
        <w:spacing w:lineRule="auto" w:line="276" w:before="57" w:after="57"/>
        <w:ind w:left="0" w:right="0" w:hanging="0"/>
        <w:jc w:val="both"/>
        <w:rPr>
          <w:rFonts w:ascii="Verdana" w:hAnsi="Verdana" w:cs="Verdana"/>
          <w:b/>
          <w:bCs/>
          <w:sz w:val="20"/>
          <w:szCs w:val="20"/>
        </w:rPr>
      </w:pPr>
      <w:r>
        <w:rPr>
          <w:rFonts w:cs="Verdana" w:ascii="Verdana" w:hAnsi="Verdana"/>
          <w:b/>
          <w:sz w:val="20"/>
          <w:szCs w:val="20"/>
        </w:rPr>
        <w:t>3.3</w:t>
      </w:r>
      <w:r>
        <w:rPr>
          <w:rFonts w:cs="Verdana" w:ascii="Verdana" w:hAnsi="Verdana"/>
          <w:sz w:val="20"/>
          <w:szCs w:val="20"/>
        </w:rPr>
        <w:t xml:space="preserve"> </w:t>
      </w:r>
      <w:r>
        <w:rPr>
          <w:rFonts w:cs="Verdana" w:ascii="Verdana" w:hAnsi="Verdana"/>
          <w:b/>
          <w:sz w:val="20"/>
          <w:szCs w:val="20"/>
        </w:rPr>
        <w:t>–</w:t>
      </w:r>
      <w:r>
        <w:rPr>
          <w:rFonts w:cs="Verdana" w:ascii="Verdana" w:hAnsi="Verdana"/>
          <w:sz w:val="20"/>
          <w:szCs w:val="20"/>
        </w:rPr>
        <w:t xml:space="preserve"> O preço registrado já inclui todas as despesas necessárias ao fornecimento do objeto desta ata, sem quaisquer ônus para a Prefeitura Municipal de São Gabriel da Palha – ES no que se refere a fretes, tributos e outros.</w:t>
      </w:r>
    </w:p>
    <w:p>
      <w:pPr>
        <w:pStyle w:val="Normal"/>
        <w:autoSpaceDE w:val="false"/>
        <w:spacing w:lineRule="auto" w:line="276" w:before="57" w:after="57"/>
        <w:ind w:left="0" w:right="0" w:hanging="0"/>
        <w:jc w:val="both"/>
        <w:rPr>
          <w:rFonts w:ascii="Verdana" w:hAnsi="Verdana" w:cs="Verdana"/>
          <w:b/>
          <w:bCs/>
          <w:sz w:val="20"/>
          <w:szCs w:val="20"/>
        </w:rPr>
      </w:pPr>
      <w:r>
        <w:rPr>
          <w:rFonts w:cs="Verdana" w:ascii="Verdana" w:hAnsi="Verdana"/>
          <w:b/>
          <w:bCs/>
          <w:sz w:val="20"/>
          <w:szCs w:val="20"/>
        </w:rPr>
        <w:t xml:space="preserve">3.4 – </w:t>
      </w:r>
      <w:r>
        <w:rPr>
          <w:rFonts w:cs="Verdana" w:ascii="Verdana" w:hAnsi="Verdana"/>
          <w:sz w:val="20"/>
          <w:szCs w:val="20"/>
        </w:rPr>
        <w:t>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no Decreto Municipal nº 441/2014.</w:t>
      </w:r>
    </w:p>
    <w:p>
      <w:pPr>
        <w:pStyle w:val="Normal"/>
        <w:autoSpaceDE w:val="false"/>
        <w:spacing w:lineRule="auto" w:line="276" w:before="57" w:after="57"/>
        <w:ind w:left="0" w:right="0" w:hanging="0"/>
        <w:jc w:val="both"/>
        <w:rPr>
          <w:rFonts w:ascii="Verdana" w:hAnsi="Verdana" w:cs="Verdana"/>
          <w:b/>
          <w:sz w:val="20"/>
          <w:szCs w:val="20"/>
        </w:rPr>
      </w:pPr>
      <w:r>
        <w:rPr>
          <w:rFonts w:cs="Verdana" w:ascii="Verdana" w:hAnsi="Verdana"/>
          <w:b/>
          <w:bCs/>
          <w:sz w:val="20"/>
          <w:szCs w:val="20"/>
        </w:rPr>
        <w:t xml:space="preserve">3.5 – </w:t>
      </w:r>
      <w:r>
        <w:rPr>
          <w:rFonts w:cs="Verdana" w:ascii="Verdana" w:hAnsi="Verdana"/>
          <w:sz w:val="20"/>
          <w:szCs w:val="20"/>
        </w:rPr>
        <w:t>Quando o preço registrado tornar-se superior ao preço praticado no mercado por motivo superveniente, o Órgão Gerenciador convocará os fornecedores para negociarem a redução dos preços aos valores praticados pelo mercado.</w:t>
      </w:r>
    </w:p>
    <w:p>
      <w:pPr>
        <w:pStyle w:val="Normal"/>
        <w:autoSpaceDE w:val="false"/>
        <w:spacing w:lineRule="auto" w:line="276" w:before="57" w:after="57"/>
        <w:ind w:left="0" w:right="0" w:hanging="0"/>
        <w:jc w:val="both"/>
        <w:rPr>
          <w:rFonts w:ascii="Verdana" w:hAnsi="Verdana" w:cs="Verdana"/>
          <w:b/>
          <w:sz w:val="20"/>
          <w:szCs w:val="20"/>
        </w:rPr>
      </w:pPr>
      <w:r>
        <w:rPr>
          <w:rFonts w:cs="Verdana" w:ascii="Verdana" w:hAnsi="Verdana"/>
          <w:b/>
          <w:sz w:val="20"/>
          <w:szCs w:val="20"/>
        </w:rPr>
        <w:t>a)</w:t>
      </w:r>
      <w:r>
        <w:rPr>
          <w:rFonts w:cs="Verdana" w:ascii="Verdana" w:hAnsi="Verdana"/>
          <w:sz w:val="20"/>
          <w:szCs w:val="20"/>
        </w:rPr>
        <w:t xml:space="preserve"> Os fornecedores que não aceitarem reduzir seus preços aos valores praticados pelo mercado serão liberados do compromisso assumido, sem aplicação de penalidade.</w:t>
      </w:r>
    </w:p>
    <w:p>
      <w:pPr>
        <w:pStyle w:val="Normal"/>
        <w:autoSpaceDE w:val="false"/>
        <w:spacing w:lineRule="auto" w:line="276" w:before="57" w:after="57"/>
        <w:ind w:left="0" w:right="0" w:hanging="0"/>
        <w:jc w:val="both"/>
        <w:rPr>
          <w:rFonts w:ascii="Verdana" w:hAnsi="Verdana" w:cs="Verdana"/>
          <w:b/>
          <w:bCs/>
          <w:sz w:val="20"/>
          <w:szCs w:val="20"/>
        </w:rPr>
      </w:pPr>
      <w:r>
        <w:rPr>
          <w:rFonts w:cs="Verdana" w:ascii="Verdana" w:hAnsi="Verdana"/>
          <w:b/>
          <w:sz w:val="20"/>
          <w:szCs w:val="20"/>
        </w:rPr>
        <w:t>b)</w:t>
      </w:r>
      <w:r>
        <w:rPr>
          <w:rFonts w:cs="Verdana" w:ascii="Verdana" w:hAnsi="Verdana"/>
          <w:sz w:val="20"/>
          <w:szCs w:val="20"/>
        </w:rPr>
        <w:t xml:space="preserve"> A ordem de classificação dos fornecedores que aceitarem reduzir seus preços aos valores de mercado observará a classificação original.</w:t>
      </w:r>
    </w:p>
    <w:p>
      <w:pPr>
        <w:pStyle w:val="Normal"/>
        <w:autoSpaceDE w:val="false"/>
        <w:spacing w:lineRule="auto" w:line="276" w:before="57" w:after="57"/>
        <w:ind w:left="0" w:right="0" w:hanging="0"/>
        <w:jc w:val="both"/>
        <w:rPr>
          <w:rFonts w:ascii="Verdana" w:hAnsi="Verdana" w:cs="Verdana"/>
          <w:sz w:val="20"/>
          <w:szCs w:val="20"/>
        </w:rPr>
      </w:pPr>
      <w:r>
        <w:rPr>
          <w:rFonts w:cs="Verdana" w:ascii="Verdana" w:hAnsi="Verdana"/>
          <w:b/>
          <w:bCs/>
          <w:sz w:val="20"/>
          <w:szCs w:val="20"/>
        </w:rPr>
        <w:t xml:space="preserve">3.6 – </w:t>
      </w:r>
      <w:r>
        <w:rPr>
          <w:rFonts w:cs="Verdana" w:ascii="Verdana" w:hAnsi="Verdana"/>
          <w:sz w:val="20"/>
          <w:szCs w:val="20"/>
        </w:rPr>
        <w:t>Quando o preço de mercado tornar-se superior aos preços registrados e o fornecedor não puder cumprir o compromisso, o Órgão Gerenciador poderá:</w:t>
      </w:r>
    </w:p>
    <w:p>
      <w:pPr>
        <w:pStyle w:val="Normal"/>
        <w:autoSpaceDE w:val="false"/>
        <w:spacing w:lineRule="auto" w:line="276" w:before="57" w:after="57"/>
        <w:ind w:left="0" w:right="0" w:hanging="0"/>
        <w:jc w:val="both"/>
        <w:rPr>
          <w:rFonts w:ascii="Verdana" w:hAnsi="Verdana" w:cs="Verdana"/>
          <w:sz w:val="20"/>
          <w:szCs w:val="20"/>
        </w:rPr>
      </w:pPr>
      <w:r>
        <w:rPr>
          <w:rFonts w:cs="Verdana" w:ascii="Verdana" w:hAnsi="Verdana"/>
          <w:sz w:val="20"/>
          <w:szCs w:val="20"/>
        </w:rPr>
        <w:t xml:space="preserve">I – liberar o fornecedor do compromisso assumido, caso a comunicação ocorra antes do pedido de fornecimento, e sem aplicação da penalidade se confirmada à veracidade dos motivos e comprovantes apresentados; e </w:t>
      </w:r>
    </w:p>
    <w:p>
      <w:pPr>
        <w:pStyle w:val="Normal"/>
        <w:autoSpaceDE w:val="false"/>
        <w:spacing w:lineRule="auto" w:line="276" w:before="57" w:after="57"/>
        <w:ind w:left="0" w:right="0" w:hanging="0"/>
        <w:jc w:val="both"/>
        <w:rPr>
          <w:rFonts w:ascii="Verdana" w:hAnsi="Verdana" w:cs="Verdana"/>
          <w:sz w:val="20"/>
          <w:szCs w:val="20"/>
        </w:rPr>
      </w:pPr>
      <w:r>
        <w:rPr>
          <w:rFonts w:cs="Verdana" w:ascii="Verdana" w:hAnsi="Verdana"/>
          <w:sz w:val="20"/>
          <w:szCs w:val="20"/>
        </w:rPr>
        <w:t>II – convocar os demais fornecedores para assegurar igual oportunidade de negociação.</w:t>
      </w:r>
    </w:p>
    <w:p>
      <w:pPr>
        <w:pStyle w:val="Normal"/>
        <w:autoSpaceDE w:val="false"/>
        <w:spacing w:lineRule="auto" w:line="276" w:before="57" w:after="57"/>
        <w:ind w:left="0" w:right="0" w:hanging="0"/>
        <w:jc w:val="both"/>
        <w:rPr>
          <w:rFonts w:ascii="Verdana" w:hAnsi="Verdana" w:eastAsia="Batang;바탕" w:cs="Verdana"/>
          <w:b/>
          <w:sz w:val="12"/>
          <w:szCs w:val="12"/>
          <w:u w:val="single"/>
        </w:rPr>
      </w:pPr>
      <w:r>
        <w:rPr>
          <w:rFonts w:cs="Verdana" w:ascii="Verdana" w:hAnsi="Verdana"/>
          <w:sz w:val="20"/>
          <w:szCs w:val="20"/>
        </w:rPr>
        <w:t>Parágrafo único. Não havendo êxito nas negociações, o Órgão Gerenciador deverá proceder à revogação da ata de registro de preços, adotando as medidas cabíveis para obtenção da contratação mais vantajosa.</w:t>
      </w:r>
    </w:p>
    <w:p>
      <w:pPr>
        <w:pStyle w:val="Normal"/>
        <w:tabs>
          <w:tab w:val="clear" w:pos="708"/>
          <w:tab w:val="left" w:pos="-414" w:leader="none"/>
          <w:tab w:val="left" w:pos="0" w:leader="none"/>
          <w:tab w:val="left" w:pos="306" w:leader="none"/>
          <w:tab w:val="left" w:pos="1020" w:leader="none"/>
          <w:tab w:val="left" w:pos="1926" w:leader="none"/>
          <w:tab w:val="left" w:pos="2466" w:leader="none"/>
          <w:tab w:val="left" w:pos="2832"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ind w:left="0" w:right="0" w:hanging="0"/>
        <w:rPr>
          <w:rFonts w:ascii="Verdana" w:hAnsi="Verdana" w:eastAsia="Batang;바탕" w:cs="Verdana"/>
          <w:b/>
          <w:sz w:val="12"/>
          <w:szCs w:val="12"/>
          <w:u w:val="single"/>
        </w:rPr>
      </w:pPr>
      <w:r>
        <w:rPr>
          <w:rFonts w:eastAsia="Batang;바탕" w:cs="Verdana" w:ascii="Verdana" w:hAnsi="Verdana"/>
          <w:b/>
          <w:sz w:val="12"/>
          <w:szCs w:val="12"/>
          <w:u w:val="single"/>
        </w:rPr>
      </w:r>
    </w:p>
    <w:p>
      <w:pPr>
        <w:pStyle w:val="Normal"/>
        <w:tabs>
          <w:tab w:val="clear" w:pos="708"/>
          <w:tab w:val="left" w:pos="-414" w:leader="none"/>
          <w:tab w:val="left" w:pos="0" w:leader="none"/>
          <w:tab w:val="left" w:pos="306" w:leader="none"/>
          <w:tab w:val="left" w:pos="1020" w:leader="none"/>
          <w:tab w:val="left" w:pos="1926" w:leader="none"/>
          <w:tab w:val="left" w:pos="2466" w:leader="none"/>
          <w:tab w:val="left" w:pos="2832"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76" w:before="57" w:after="57"/>
        <w:ind w:left="0" w:right="0" w:hanging="0"/>
        <w:rPr>
          <w:rFonts w:ascii="Verdana" w:hAnsi="Verdana" w:cs="Verdana"/>
          <w:b/>
          <w:iCs/>
          <w:sz w:val="20"/>
          <w:szCs w:val="20"/>
        </w:rPr>
      </w:pPr>
      <w:r>
        <w:rPr>
          <w:rFonts w:eastAsia="Batang;바탕" w:cs="Verdana" w:ascii="Verdana" w:hAnsi="Verdana"/>
          <w:b/>
          <w:sz w:val="20"/>
          <w:szCs w:val="20"/>
          <w:u w:val="single"/>
        </w:rPr>
        <w:t>CLÁUSULA QUARTA – DO FORNECIMENTO DOS PRODUTOS</w:t>
      </w:r>
    </w:p>
    <w:p>
      <w:pPr>
        <w:pStyle w:val="Normal"/>
        <w:spacing w:lineRule="auto" w:line="276" w:before="57" w:after="57"/>
        <w:ind w:left="0" w:right="0" w:hanging="0"/>
        <w:jc w:val="both"/>
        <w:rPr>
          <w:rFonts w:ascii="Verdana" w:hAnsi="Verdana" w:cs="Verdana"/>
          <w:b/>
          <w:bCs/>
          <w:iCs/>
          <w:sz w:val="20"/>
          <w:szCs w:val="20"/>
        </w:rPr>
      </w:pPr>
      <w:r>
        <w:rPr>
          <w:rFonts w:cs="Verdana" w:ascii="Verdana" w:hAnsi="Verdana"/>
          <w:b/>
          <w:iCs/>
          <w:sz w:val="20"/>
          <w:szCs w:val="20"/>
        </w:rPr>
        <w:t>4.1</w:t>
      </w:r>
      <w:r>
        <w:rPr>
          <w:rFonts w:cs="Verdana" w:ascii="Verdana" w:hAnsi="Verdana"/>
          <w:iCs/>
          <w:sz w:val="20"/>
          <w:szCs w:val="20"/>
        </w:rPr>
        <w:t xml:space="preserve"> Os utensílios deverão ser entregues diretamente nas escolas indicadas em cronograma fornecido no ato da emissão da autorização de fornecimento, com localização na sede do Município, das 8 h às 16 h, observando os dias de funcionamento. Os materiais que forem solicitados para escolas localizadas na zona rural, deverão ser entregues na Secretaria Municipal de Educação, situada na Praça Vicente Glazar, nº 159, Bairro Glória, no horário de expediente da mesma, observando feriados e facultativos, das 12 h às 18 h (segunda a quinta) e corridos a contar do recebimento da autorização de fornecimento, emitida pelo Departamento Municipal de Compras e Contratos, devidamente assinada.</w:t>
      </w:r>
    </w:p>
    <w:p>
      <w:pPr>
        <w:pStyle w:val="Normal"/>
        <w:spacing w:lineRule="auto" w:line="276" w:before="57" w:after="57"/>
        <w:ind w:left="0" w:right="0" w:hanging="0"/>
        <w:jc w:val="both"/>
        <w:rPr>
          <w:rFonts w:ascii="Verdana" w:hAnsi="Verdana" w:cs="Verdana"/>
          <w:b/>
          <w:bCs/>
          <w:iCs/>
          <w:sz w:val="20"/>
          <w:szCs w:val="20"/>
        </w:rPr>
      </w:pPr>
      <w:r>
        <w:rPr>
          <w:rFonts w:cs="Verdana" w:ascii="Verdana" w:hAnsi="Verdana"/>
          <w:b/>
          <w:bCs/>
          <w:iCs/>
          <w:sz w:val="20"/>
          <w:szCs w:val="20"/>
        </w:rPr>
        <w:t xml:space="preserve">4.1.1 </w:t>
      </w:r>
      <w:r>
        <w:rPr>
          <w:rFonts w:cs="Verdana" w:ascii="Verdana" w:hAnsi="Verdana"/>
          <w:b w:val="false"/>
          <w:bCs w:val="false"/>
          <w:iCs/>
          <w:sz w:val="20"/>
          <w:szCs w:val="20"/>
        </w:rPr>
        <w:t xml:space="preserve">A entrega deverá ocorrer no prazo de até 30 (trinta) dias corridos a contar do recebimento da Autorização de Fornecimento, emitida pelo Departamento de Compras e </w:t>
        <w:br/>
        <w:t>Contratos.</w:t>
      </w:r>
    </w:p>
    <w:p>
      <w:pPr>
        <w:pStyle w:val="Normal"/>
        <w:spacing w:lineRule="auto" w:line="276" w:before="57" w:after="57"/>
        <w:ind w:left="0" w:right="0" w:hanging="0"/>
        <w:jc w:val="both"/>
        <w:rPr>
          <w:rFonts w:ascii="Verdana" w:hAnsi="Verdana" w:cs="Verdana"/>
          <w:b/>
          <w:bCs/>
          <w:iCs/>
          <w:sz w:val="20"/>
          <w:szCs w:val="20"/>
        </w:rPr>
      </w:pPr>
      <w:r>
        <w:rPr>
          <w:rFonts w:cs="Verdana" w:ascii="Verdana" w:hAnsi="Verdana"/>
          <w:b/>
          <w:bCs/>
          <w:iCs/>
          <w:sz w:val="20"/>
          <w:szCs w:val="20"/>
        </w:rPr>
        <w:t>4.2</w:t>
      </w:r>
      <w:r>
        <w:rPr>
          <w:rFonts w:cs="Verdana" w:ascii="Verdana" w:hAnsi="Verdana"/>
          <w:iCs/>
          <w:sz w:val="20"/>
          <w:szCs w:val="20"/>
        </w:rPr>
        <w:t xml:space="preserve"> A entrega deverá ocorrer sem qualquer ônus adicional, bem como a descarga e todas as demais despesas provenientes da mesma, previamente agendada com a Secretaria Municipal de Educação.</w:t>
      </w:r>
    </w:p>
    <w:p>
      <w:pPr>
        <w:pStyle w:val="Normal"/>
        <w:spacing w:lineRule="auto" w:line="276" w:before="57" w:after="57"/>
        <w:ind w:left="0" w:right="0" w:hanging="0"/>
        <w:jc w:val="both"/>
        <w:rPr>
          <w:rFonts w:ascii="Verdana" w:hAnsi="Verdana" w:cs="Verdana"/>
          <w:b/>
          <w:bCs/>
          <w:iCs/>
          <w:sz w:val="20"/>
          <w:szCs w:val="20"/>
        </w:rPr>
      </w:pPr>
      <w:r>
        <w:rPr>
          <w:rFonts w:cs="Verdana" w:ascii="Verdana" w:hAnsi="Verdana"/>
          <w:b/>
          <w:bCs/>
          <w:iCs/>
          <w:sz w:val="20"/>
          <w:szCs w:val="20"/>
        </w:rPr>
        <w:t>4.3</w:t>
      </w:r>
      <w:r>
        <w:rPr>
          <w:rFonts w:cs="Verdana" w:ascii="Verdana" w:hAnsi="Verdana"/>
          <w:iCs/>
          <w:sz w:val="20"/>
          <w:szCs w:val="20"/>
        </w:rPr>
        <w:t xml:space="preserve"> A empresa vencedora garantirá a qualidade dos materiais obrigando-se a repor aquele que apresentar defeito ou for entregue em desacordo com o apresentado na proposta;</w:t>
      </w:r>
    </w:p>
    <w:p>
      <w:pPr>
        <w:pStyle w:val="Normal"/>
        <w:spacing w:lineRule="auto" w:line="276" w:before="57" w:after="57"/>
        <w:ind w:left="0" w:right="0" w:hanging="0"/>
        <w:jc w:val="both"/>
        <w:rPr>
          <w:rFonts w:ascii="Verdana" w:hAnsi="Verdana" w:cs="Verdana"/>
          <w:b/>
          <w:bCs/>
          <w:iCs/>
          <w:sz w:val="20"/>
          <w:szCs w:val="20"/>
        </w:rPr>
      </w:pPr>
      <w:r>
        <w:rPr>
          <w:rFonts w:cs="Verdana" w:ascii="Verdana" w:hAnsi="Verdana"/>
          <w:b/>
          <w:bCs/>
          <w:iCs/>
          <w:sz w:val="20"/>
          <w:szCs w:val="20"/>
        </w:rPr>
        <w:t>4.4</w:t>
      </w:r>
      <w:r>
        <w:rPr>
          <w:rFonts w:cs="Verdana" w:ascii="Verdana" w:hAnsi="Verdana"/>
          <w:iCs/>
          <w:sz w:val="20"/>
          <w:szCs w:val="20"/>
        </w:rPr>
        <w:t xml:space="preserve"> O material deverá ser entregue nas mesmas marcas indicadas nas propostas de preços vencedoras do certame e especificações contantes nas solicitações de compras.</w:t>
      </w:r>
    </w:p>
    <w:p>
      <w:pPr>
        <w:pStyle w:val="Normal"/>
        <w:spacing w:lineRule="auto" w:line="276" w:before="57" w:after="57"/>
        <w:ind w:left="0" w:right="0" w:hanging="0"/>
        <w:jc w:val="both"/>
        <w:rPr>
          <w:rFonts w:ascii="Verdana" w:hAnsi="Verdana" w:cs="Verdana"/>
          <w:b/>
          <w:bCs/>
          <w:iCs/>
          <w:sz w:val="20"/>
          <w:szCs w:val="20"/>
        </w:rPr>
      </w:pPr>
      <w:r>
        <w:rPr>
          <w:rFonts w:cs="Verdana" w:ascii="Verdana" w:hAnsi="Verdana"/>
          <w:b/>
          <w:bCs/>
          <w:iCs/>
          <w:sz w:val="20"/>
          <w:szCs w:val="20"/>
        </w:rPr>
        <w:t>4.5</w:t>
      </w:r>
      <w:r>
        <w:rPr>
          <w:rFonts w:cs="Verdana" w:ascii="Verdana" w:hAnsi="Verdana"/>
          <w:iCs/>
          <w:sz w:val="20"/>
          <w:szCs w:val="20"/>
        </w:rPr>
        <w:t xml:space="preserve"> O recebimento </w:t>
      </w:r>
      <w:r>
        <w:rPr>
          <w:rFonts w:cs="Verdana" w:ascii="Verdana" w:hAnsi="Verdana"/>
          <w:b/>
          <w:bCs/>
          <w:iCs/>
          <w:sz w:val="20"/>
          <w:szCs w:val="20"/>
        </w:rPr>
        <w:t>provisório</w:t>
      </w:r>
      <w:r>
        <w:rPr>
          <w:rFonts w:cs="Verdana" w:ascii="Verdana" w:hAnsi="Verdana"/>
          <w:iCs/>
          <w:sz w:val="20"/>
          <w:szCs w:val="20"/>
        </w:rPr>
        <w:t xml:space="preserve"> do material entregue dar-se-á pela conferência com a descrição constante da ordem de fornecimento ou serviço;</w:t>
      </w:r>
    </w:p>
    <w:p>
      <w:pPr>
        <w:pStyle w:val="Normal"/>
        <w:spacing w:lineRule="auto" w:line="276" w:before="57" w:after="57"/>
        <w:ind w:left="0" w:right="0" w:hanging="0"/>
        <w:jc w:val="both"/>
        <w:rPr>
          <w:rFonts w:ascii="Verdana" w:hAnsi="Verdana" w:cs="Verdana"/>
          <w:b/>
          <w:bCs/>
          <w:iCs/>
          <w:sz w:val="20"/>
          <w:szCs w:val="20"/>
        </w:rPr>
      </w:pPr>
      <w:r>
        <w:rPr>
          <w:rFonts w:cs="Verdana" w:ascii="Verdana" w:hAnsi="Verdana"/>
          <w:b/>
          <w:bCs/>
          <w:iCs/>
          <w:sz w:val="20"/>
          <w:szCs w:val="20"/>
        </w:rPr>
        <w:t>4.6</w:t>
      </w:r>
      <w:r>
        <w:rPr>
          <w:rFonts w:cs="Verdana" w:ascii="Verdana" w:hAnsi="Verdana"/>
          <w:iCs/>
          <w:sz w:val="20"/>
          <w:szCs w:val="20"/>
        </w:rPr>
        <w:t xml:space="preserve"> O recebimento </w:t>
      </w:r>
      <w:r>
        <w:rPr>
          <w:rFonts w:cs="Verdana" w:ascii="Verdana" w:hAnsi="Verdana"/>
          <w:b/>
          <w:bCs/>
          <w:iCs/>
          <w:sz w:val="20"/>
          <w:szCs w:val="20"/>
        </w:rPr>
        <w:t>definitivo</w:t>
      </w:r>
      <w:r>
        <w:rPr>
          <w:rFonts w:cs="Verdana" w:ascii="Verdana" w:hAnsi="Verdana"/>
          <w:iCs/>
          <w:sz w:val="20"/>
          <w:szCs w:val="20"/>
        </w:rPr>
        <w:t xml:space="preserve"> ocorrerá com a verificação integral das características do produto fornecido pela Contratada;</w:t>
      </w:r>
    </w:p>
    <w:p>
      <w:pPr>
        <w:pStyle w:val="Normal"/>
        <w:spacing w:lineRule="auto" w:line="276" w:before="57" w:after="57"/>
        <w:ind w:left="0" w:right="0" w:hanging="0"/>
        <w:jc w:val="both"/>
        <w:rPr>
          <w:rFonts w:ascii="Verdana" w:hAnsi="Verdana" w:cs="Verdana"/>
          <w:b/>
          <w:bCs/>
          <w:iCs/>
          <w:sz w:val="20"/>
          <w:szCs w:val="20"/>
        </w:rPr>
      </w:pPr>
      <w:r>
        <w:rPr>
          <w:rFonts w:cs="Verdana" w:ascii="Verdana" w:hAnsi="Verdana"/>
          <w:b/>
          <w:bCs/>
          <w:iCs/>
          <w:sz w:val="20"/>
          <w:szCs w:val="20"/>
        </w:rPr>
        <w:t>4.7</w:t>
      </w:r>
      <w:r>
        <w:rPr>
          <w:rFonts w:cs="Verdana" w:ascii="Verdana" w:hAnsi="Verdana"/>
          <w:iCs/>
          <w:sz w:val="20"/>
          <w:szCs w:val="20"/>
        </w:rPr>
        <w:t xml:space="preserve"> O recebimento definitivo não isenta a Contratada de responsabilidades futuras quanto à qualidade do material;</w:t>
      </w:r>
    </w:p>
    <w:p>
      <w:pPr>
        <w:pStyle w:val="Normal"/>
        <w:spacing w:lineRule="auto" w:line="276" w:before="57" w:after="57"/>
        <w:ind w:left="0" w:right="0" w:hanging="0"/>
        <w:jc w:val="both"/>
        <w:rPr>
          <w:rFonts w:ascii="Verdana" w:hAnsi="Verdana" w:cs="Verdana"/>
          <w:b/>
          <w:bCs/>
          <w:iCs/>
          <w:sz w:val="20"/>
          <w:szCs w:val="20"/>
        </w:rPr>
      </w:pPr>
      <w:r>
        <w:rPr>
          <w:rFonts w:cs="Verdana" w:ascii="Verdana" w:hAnsi="Verdana"/>
          <w:b/>
          <w:bCs/>
          <w:iCs/>
          <w:sz w:val="20"/>
          <w:szCs w:val="20"/>
        </w:rPr>
        <w:t>4.8</w:t>
      </w:r>
      <w:r>
        <w:rPr>
          <w:rFonts w:cs="Verdana" w:ascii="Verdana" w:hAnsi="Verdana"/>
          <w:iCs/>
          <w:sz w:val="20"/>
          <w:szCs w:val="20"/>
        </w:rPr>
        <w:t xml:space="preserve"> O recebimento provisório dos produtos não implica na aceitação dos mesmos;</w:t>
      </w:r>
    </w:p>
    <w:p>
      <w:pPr>
        <w:pStyle w:val="Normal"/>
        <w:spacing w:lineRule="auto" w:line="276" w:before="57" w:after="57"/>
        <w:ind w:left="0" w:right="0" w:hanging="0"/>
        <w:jc w:val="both"/>
        <w:rPr>
          <w:rFonts w:ascii="Verdana" w:hAnsi="Verdana" w:cs="Verdana"/>
          <w:b/>
          <w:bCs/>
          <w:iCs/>
          <w:sz w:val="20"/>
          <w:szCs w:val="20"/>
        </w:rPr>
      </w:pPr>
      <w:r>
        <w:rPr>
          <w:rFonts w:cs="Verdana" w:ascii="Verdana" w:hAnsi="Verdana"/>
          <w:b/>
          <w:bCs/>
          <w:iCs/>
          <w:sz w:val="20"/>
          <w:szCs w:val="20"/>
        </w:rPr>
        <w:t>4.9</w:t>
      </w:r>
      <w:r>
        <w:rPr>
          <w:rFonts w:cs="Verdana" w:ascii="Verdana" w:hAnsi="Verdana"/>
          <w:iCs/>
          <w:sz w:val="20"/>
          <w:szCs w:val="20"/>
        </w:rPr>
        <w:t xml:space="preserve"> Os produtos que não estiverem de acordo com as especificações exigidas, apresentem vício de qualidade ou impropriedade para o uso, serão recusadas e devolvidas parcial ou totalmente, conforme caso, ficando a Contratada, obrigada a substituí-los no prazo de 05 (cinco) dias úteis, contadas do recebimento da notificação escrita, sob pena de incorrer em atraso quanto ao prazo de execução;</w:t>
      </w:r>
    </w:p>
    <w:p>
      <w:pPr>
        <w:pStyle w:val="Normal"/>
        <w:spacing w:lineRule="auto" w:line="276" w:before="57" w:after="57"/>
        <w:ind w:left="0" w:right="0" w:hanging="0"/>
        <w:jc w:val="both"/>
        <w:rPr>
          <w:rFonts w:ascii="Verdana" w:hAnsi="Verdana" w:cs="Verdana"/>
          <w:b/>
          <w:iCs/>
          <w:sz w:val="12"/>
          <w:szCs w:val="12"/>
          <w:u w:val="single"/>
        </w:rPr>
      </w:pPr>
      <w:r>
        <w:rPr>
          <w:rFonts w:cs="Verdana" w:ascii="Verdana" w:hAnsi="Verdana"/>
          <w:b/>
          <w:bCs/>
          <w:iCs/>
          <w:sz w:val="20"/>
          <w:szCs w:val="20"/>
        </w:rPr>
        <w:t>4.10</w:t>
      </w:r>
      <w:r>
        <w:rPr>
          <w:rFonts w:cs="Verdana" w:ascii="Verdana" w:hAnsi="Verdana"/>
          <w:iCs/>
          <w:sz w:val="20"/>
          <w:szCs w:val="20"/>
        </w:rPr>
        <w:t xml:space="preserve"> Havendo erro na nota fiscal ou outra circunstância impeditiva, o recebimento definitivo será suspenso, até que a empresa tome as medidas saneadoras necessárias.</w:t>
      </w:r>
    </w:p>
    <w:p>
      <w:pPr>
        <w:pStyle w:val="Normal"/>
        <w:spacing w:lineRule="auto" w:line="276" w:before="57" w:after="57"/>
        <w:ind w:left="0" w:right="0" w:hanging="0"/>
        <w:jc w:val="both"/>
        <w:rPr>
          <w:rFonts w:ascii="Verdana" w:hAnsi="Verdana" w:cs="Verdana"/>
          <w:b/>
          <w:iCs/>
          <w:sz w:val="12"/>
          <w:szCs w:val="12"/>
          <w:u w:val="single"/>
        </w:rPr>
      </w:pPr>
      <w:r>
        <w:rPr>
          <w:rFonts w:cs="Verdana" w:ascii="Verdana" w:hAnsi="Verdana"/>
          <w:b/>
          <w:iCs/>
          <w:sz w:val="12"/>
          <w:szCs w:val="12"/>
          <w:u w:val="single"/>
        </w:rPr>
      </w:r>
    </w:p>
    <w:p>
      <w:pPr>
        <w:pStyle w:val="Normal"/>
        <w:spacing w:lineRule="auto" w:line="276" w:before="57" w:after="57"/>
        <w:ind w:left="0" w:right="0" w:hanging="0"/>
        <w:jc w:val="both"/>
        <w:rPr>
          <w:rFonts w:ascii="Verdana" w:hAnsi="Verdana" w:cs="Verdana"/>
          <w:b/>
          <w:i/>
          <w:i/>
          <w:iCs/>
          <w:sz w:val="20"/>
          <w:szCs w:val="20"/>
          <w:u w:val="single"/>
        </w:rPr>
      </w:pPr>
      <w:r>
        <w:rPr>
          <w:rFonts w:cs="Verdana" w:ascii="Verdana" w:hAnsi="Verdana"/>
          <w:b/>
          <w:iCs/>
          <w:sz w:val="20"/>
          <w:szCs w:val="20"/>
          <w:u w:val="single"/>
        </w:rPr>
        <w:t>CLÁUSULA QUINTA – DO PAGAMENTO</w:t>
      </w:r>
    </w:p>
    <w:p>
      <w:pPr>
        <w:pStyle w:val="Normal"/>
        <w:numPr>
          <w:ilvl w:val="0"/>
          <w:numId w:val="2"/>
        </w:numPr>
        <w:tabs>
          <w:tab w:val="clear" w:pos="708"/>
          <w:tab w:val="left" w:pos="284" w:leader="none"/>
        </w:tabs>
        <w:spacing w:lineRule="auto" w:line="276" w:before="57" w:after="57"/>
        <w:ind w:left="0" w:right="0" w:hanging="0"/>
        <w:jc w:val="both"/>
        <w:rPr>
          <w:rFonts w:ascii="Verdana" w:hAnsi="Verdana" w:cs="Verdana"/>
          <w:sz w:val="20"/>
          <w:szCs w:val="20"/>
        </w:rPr>
      </w:pPr>
      <w:r>
        <w:rPr>
          <w:rFonts w:cs="Verdana" w:ascii="Verdana" w:hAnsi="Verdana"/>
          <w:b/>
          <w:i/>
          <w:iCs/>
          <w:sz w:val="20"/>
          <w:szCs w:val="20"/>
          <w:u w:val="single"/>
        </w:rPr>
        <w:t>O PAGAMENTO SOMENTE OCORRERÁ MEDIANTE ENTREGA TOTAL</w:t>
      </w:r>
      <w:r>
        <w:rPr>
          <w:rFonts w:cs="Verdana" w:ascii="Verdana" w:hAnsi="Verdana"/>
          <w:b/>
          <w:i/>
          <w:sz w:val="20"/>
          <w:szCs w:val="20"/>
          <w:u w:val="single"/>
        </w:rPr>
        <w:t xml:space="preserve"> DO OBJETO, DE ACORDO COM CADA ORDEM DE FORNECIMENTO APRESENTADA, E APROVAÇÃO DA SECRETARIA REQUISITANTE E SERÁ REALIZADO PELO DEPARTAMENTO DO TESOURO MUNICIPAL;</w:t>
      </w:r>
    </w:p>
    <w:p>
      <w:pPr>
        <w:pStyle w:val="Normal"/>
        <w:numPr>
          <w:ilvl w:val="0"/>
          <w:numId w:val="2"/>
        </w:numPr>
        <w:tabs>
          <w:tab w:val="clear" w:pos="708"/>
          <w:tab w:val="left" w:pos="284" w:leader="none"/>
        </w:tabs>
        <w:spacing w:lineRule="auto" w:line="276" w:before="57" w:after="57"/>
        <w:ind w:left="0" w:right="0" w:hanging="0"/>
        <w:jc w:val="both"/>
        <w:rPr>
          <w:rFonts w:ascii="Verdana" w:hAnsi="Verdana" w:cs="Verdana"/>
          <w:sz w:val="20"/>
          <w:szCs w:val="20"/>
        </w:rPr>
      </w:pPr>
      <w:r>
        <w:rPr>
          <w:rFonts w:cs="Verdana" w:ascii="Verdana" w:hAnsi="Verdana"/>
          <w:sz w:val="20"/>
          <w:szCs w:val="20"/>
        </w:rPr>
        <w:t xml:space="preserve">A empresa deverá apresentar no protocolo geral desta Prefeitura Municipal, requerimento acompanhado de documento fiscal hábil (nota fiscal), tão quanto dos pertinentes à comprovação da entrega </w:t>
      </w:r>
      <w:r>
        <w:rPr>
          <w:rFonts w:cs="Verdana" w:ascii="Verdana" w:hAnsi="Verdana"/>
          <w:iCs/>
          <w:sz w:val="20"/>
          <w:szCs w:val="20"/>
        </w:rPr>
        <w:t>dos materiais</w:t>
      </w:r>
      <w:r>
        <w:rPr>
          <w:rFonts w:cs="Verdana" w:ascii="Verdana" w:hAnsi="Verdana"/>
          <w:sz w:val="20"/>
          <w:szCs w:val="20"/>
        </w:rPr>
        <w:t>.</w:t>
      </w:r>
    </w:p>
    <w:p>
      <w:pPr>
        <w:pStyle w:val="Normal"/>
        <w:numPr>
          <w:ilvl w:val="0"/>
          <w:numId w:val="2"/>
        </w:numPr>
        <w:tabs>
          <w:tab w:val="clear" w:pos="708"/>
          <w:tab w:val="left" w:pos="284" w:leader="none"/>
        </w:tabs>
        <w:spacing w:lineRule="auto" w:line="276" w:before="57" w:after="57"/>
        <w:ind w:left="0" w:right="0" w:hanging="0"/>
        <w:jc w:val="both"/>
        <w:rPr>
          <w:rFonts w:ascii="Verdana" w:hAnsi="Verdana" w:cs="Verdana"/>
          <w:sz w:val="20"/>
          <w:szCs w:val="20"/>
        </w:rPr>
      </w:pPr>
      <w:r>
        <w:rPr>
          <w:rFonts w:cs="Verdana" w:ascii="Verdana" w:hAnsi="Verdana"/>
          <w:sz w:val="20"/>
          <w:szCs w:val="20"/>
        </w:rPr>
        <w:t>A nota fiscal deverá ser emitida nos termos dos Protocolos Federais: 42/2009 combinado com o 196/2010</w:t>
      </w:r>
      <w:r>
        <w:rPr>
          <w:rFonts w:cs="Verdana" w:ascii="Verdana" w:hAnsi="Verdana"/>
          <w:b/>
          <w:sz w:val="20"/>
          <w:szCs w:val="20"/>
        </w:rPr>
        <w:t>;</w:t>
      </w:r>
    </w:p>
    <w:p>
      <w:pPr>
        <w:pStyle w:val="Normal"/>
        <w:numPr>
          <w:ilvl w:val="0"/>
          <w:numId w:val="2"/>
        </w:numPr>
        <w:tabs>
          <w:tab w:val="clear" w:pos="708"/>
          <w:tab w:val="left" w:pos="284" w:leader="none"/>
        </w:tabs>
        <w:spacing w:lineRule="auto" w:line="276" w:before="57" w:after="57"/>
        <w:ind w:left="0" w:right="0" w:hanging="0"/>
        <w:jc w:val="both"/>
        <w:rPr>
          <w:rFonts w:ascii="Verdana" w:hAnsi="Verdana" w:cs="Verdana"/>
          <w:sz w:val="20"/>
          <w:szCs w:val="20"/>
        </w:rPr>
      </w:pPr>
      <w:r>
        <w:rPr>
          <w:rFonts w:cs="Verdana" w:ascii="Verdana" w:hAnsi="Verdana"/>
          <w:sz w:val="20"/>
          <w:szCs w:val="20"/>
        </w:rPr>
        <w:t>Deverão ser apresentadas ainda, acompanhado do requerimento, comprovantes de regularidade junto as Fazendas Públicas Federal, Estadual e Municipal do domicílio ou sede do licitante ou outra equivalente na forma da Lei, bem como as de regularidade relativa a Seguridade Social (INSS) e ao Fundo de Garantia por Tempo de Serviço (FGTS);</w:t>
      </w:r>
    </w:p>
    <w:p>
      <w:pPr>
        <w:pStyle w:val="Normal"/>
        <w:numPr>
          <w:ilvl w:val="0"/>
          <w:numId w:val="2"/>
        </w:numPr>
        <w:tabs>
          <w:tab w:val="clear" w:pos="708"/>
          <w:tab w:val="left" w:pos="284" w:leader="none"/>
        </w:tabs>
        <w:spacing w:lineRule="auto" w:line="276" w:before="57" w:after="57"/>
        <w:ind w:left="0" w:right="0" w:hanging="0"/>
        <w:jc w:val="both"/>
        <w:rPr>
          <w:rFonts w:ascii="Verdana" w:hAnsi="Verdana" w:cs="Verdana"/>
          <w:sz w:val="20"/>
          <w:szCs w:val="20"/>
        </w:rPr>
      </w:pPr>
      <w:r>
        <w:rPr>
          <w:rFonts w:cs="Verdana" w:ascii="Verdana" w:hAnsi="Verdana"/>
          <w:sz w:val="20"/>
          <w:szCs w:val="20"/>
        </w:rPr>
        <w:t>Havendo necessidade de apresentação de novos documentos ou a sua correção, a empresa será notificada para tomar as providências necessárias, interrompendo a contagem de tempo para efeito de pagamento até a regularização do processo, quando a empresa será considerada apta para o recebimento do pagamento correspondente;</w:t>
      </w:r>
    </w:p>
    <w:p>
      <w:pPr>
        <w:pStyle w:val="Normal"/>
        <w:numPr>
          <w:ilvl w:val="0"/>
          <w:numId w:val="2"/>
        </w:numPr>
        <w:tabs>
          <w:tab w:val="clear" w:pos="708"/>
          <w:tab w:val="left" w:pos="284" w:leader="none"/>
        </w:tabs>
        <w:spacing w:lineRule="auto" w:line="276" w:before="57" w:after="57"/>
        <w:ind w:left="0" w:right="0" w:hanging="0"/>
        <w:jc w:val="both"/>
        <w:rPr>
          <w:rFonts w:ascii="Verdana" w:hAnsi="Verdana" w:cs="Verdana"/>
          <w:b w:val="false"/>
          <w:bCs w:val="false"/>
          <w:sz w:val="20"/>
          <w:szCs w:val="20"/>
          <w:u w:val="none"/>
        </w:rPr>
      </w:pPr>
      <w:r>
        <w:rPr>
          <w:rFonts w:cs="Verdana" w:ascii="Verdana" w:hAnsi="Verdana"/>
          <w:sz w:val="20"/>
          <w:szCs w:val="20"/>
        </w:rPr>
        <w:t>Ocorrendo erros na apresentação da Nota Fiscal, a mesma será devolvida à empresa para correção, ficando estabelecido que o prazo para pagamento será contado a partir da data de apresentação da nova fatura devidamente corrigida;</w:t>
      </w:r>
    </w:p>
    <w:p>
      <w:pPr>
        <w:pStyle w:val="Normal"/>
        <w:numPr>
          <w:ilvl w:val="0"/>
          <w:numId w:val="2"/>
        </w:numPr>
        <w:tabs>
          <w:tab w:val="clear" w:pos="708"/>
          <w:tab w:val="left" w:pos="284" w:leader="none"/>
        </w:tabs>
        <w:spacing w:lineRule="auto" w:line="276" w:before="57" w:after="57"/>
        <w:ind w:left="0" w:right="0" w:hanging="0"/>
        <w:jc w:val="both"/>
        <w:rPr>
          <w:rFonts w:ascii="Verdana" w:hAnsi="Verdana" w:cs="Verdana"/>
          <w:sz w:val="20"/>
          <w:szCs w:val="20"/>
        </w:rPr>
      </w:pPr>
      <w:r>
        <w:rPr>
          <w:rFonts w:cs="Verdana" w:ascii="Verdana" w:hAnsi="Verdana"/>
          <w:b w:val="false"/>
          <w:bCs w:val="false"/>
          <w:sz w:val="20"/>
          <w:szCs w:val="20"/>
          <w:u w:val="none"/>
        </w:rPr>
        <w:t>O pagamento será efetuado pela Prefeitura Municipal de São Gabriel da Palha, após a liquidação da despesa, no valor correspondente aos produtos entregues, através de ordem bancária depositada em Conta-Corrente, sendo que a empresa deverá indicar o Banco, a Agência bancária e o número da Conta-Corrente para o referido pagamento, mediante apresentação da Nota Fiscal/Fatura, atestada pelo servidor responsável, no prazo de até 30 (trinta) dias, contados a partir da data do requerimento.</w:t>
      </w:r>
    </w:p>
    <w:p>
      <w:pPr>
        <w:pStyle w:val="Normal"/>
        <w:numPr>
          <w:ilvl w:val="0"/>
          <w:numId w:val="2"/>
        </w:numPr>
        <w:tabs>
          <w:tab w:val="clear" w:pos="708"/>
          <w:tab w:val="left" w:pos="284" w:leader="none"/>
        </w:tabs>
        <w:spacing w:lineRule="auto" w:line="276" w:before="57" w:after="57"/>
        <w:ind w:left="0" w:right="0" w:hanging="0"/>
        <w:jc w:val="both"/>
        <w:rPr>
          <w:rFonts w:ascii="Verdana" w:hAnsi="Verdana" w:cs="Verdana"/>
          <w:sz w:val="20"/>
          <w:szCs w:val="20"/>
        </w:rPr>
      </w:pPr>
      <w:r>
        <w:rPr>
          <w:rFonts w:cs="Verdana" w:ascii="Verdana" w:hAnsi="Verdana"/>
          <w:sz w:val="20"/>
          <w:szCs w:val="20"/>
        </w:rPr>
        <w:t>A CONTRATANTE poderá deduzir dos pagamentos importâncias que, a qualquer título, lhe forem devidas pela adjudicatária, em decorrência de descumprimento dos termos de entrega previsto neste edital.</w:t>
      </w:r>
    </w:p>
    <w:p>
      <w:pPr>
        <w:pStyle w:val="Normal"/>
        <w:numPr>
          <w:ilvl w:val="0"/>
          <w:numId w:val="2"/>
        </w:numPr>
        <w:tabs>
          <w:tab w:val="clear" w:pos="708"/>
          <w:tab w:val="left" w:pos="284" w:leader="none"/>
        </w:tabs>
        <w:spacing w:lineRule="auto" w:line="276" w:before="57" w:after="57"/>
        <w:ind w:left="0" w:right="0" w:hanging="0"/>
        <w:jc w:val="both"/>
        <w:rPr>
          <w:rFonts w:ascii="Verdana" w:hAnsi="Verdana" w:cs="Verdana"/>
          <w:sz w:val="20"/>
          <w:szCs w:val="20"/>
        </w:rPr>
      </w:pPr>
      <w:r>
        <w:rPr>
          <w:rFonts w:cs="Verdana" w:ascii="Verdana" w:hAnsi="Verdana"/>
          <w:sz w:val="20"/>
          <w:szCs w:val="20"/>
        </w:rPr>
        <w:t>O pagamento das faturas somente será feito em carteira ou cobrança simples, sendo expressamente vedada a empresa a cobrança ou desconto de duplicatas através da rede bancária ou de terceiros.</w:t>
      </w:r>
    </w:p>
    <w:p>
      <w:pPr>
        <w:pStyle w:val="Normal"/>
        <w:numPr>
          <w:ilvl w:val="0"/>
          <w:numId w:val="2"/>
        </w:numPr>
        <w:tabs>
          <w:tab w:val="clear" w:pos="708"/>
          <w:tab w:val="left" w:pos="284" w:leader="none"/>
          <w:tab w:val="left" w:pos="800" w:leader="none"/>
        </w:tabs>
        <w:spacing w:lineRule="auto" w:line="276" w:before="57" w:after="57"/>
        <w:ind w:left="0" w:right="0" w:hanging="0"/>
        <w:jc w:val="both"/>
        <w:rPr>
          <w:rFonts w:ascii="Verdana" w:hAnsi="Verdana" w:cs="Verdana"/>
          <w:sz w:val="20"/>
          <w:szCs w:val="20"/>
        </w:rPr>
      </w:pPr>
      <w:r>
        <w:rPr>
          <w:rFonts w:cs="Verdana" w:ascii="Verdana" w:hAnsi="Verdana"/>
          <w:sz w:val="20"/>
          <w:szCs w:val="20"/>
        </w:rPr>
        <w:t>Para quaisquer pagamentos será exigido o cumprimento das formalidades estabelecidas neste Capítulo.</w:t>
      </w:r>
    </w:p>
    <w:p>
      <w:pPr>
        <w:pStyle w:val="Normal"/>
        <w:numPr>
          <w:ilvl w:val="0"/>
          <w:numId w:val="2"/>
        </w:numPr>
        <w:tabs>
          <w:tab w:val="clear" w:pos="708"/>
          <w:tab w:val="left" w:pos="284" w:leader="none"/>
          <w:tab w:val="left" w:pos="850" w:leader="none"/>
        </w:tabs>
        <w:spacing w:lineRule="auto" w:line="276" w:before="57" w:after="57"/>
        <w:ind w:left="0" w:right="0" w:hanging="0"/>
        <w:jc w:val="both"/>
        <w:rPr>
          <w:rFonts w:ascii="Verdana" w:hAnsi="Verdana" w:cs="Verdana"/>
          <w:b/>
          <w:sz w:val="12"/>
          <w:szCs w:val="12"/>
          <w:u w:val="single"/>
        </w:rPr>
      </w:pPr>
      <w:r>
        <w:rPr>
          <w:rFonts w:cs="Verdana" w:ascii="Verdana" w:hAnsi="Verdana"/>
          <w:sz w:val="20"/>
          <w:szCs w:val="20"/>
        </w:rPr>
        <w:t>Os preços propostos e adjudicados serão irreajustáveis, exceto se a ata der origem a contrato.</w:t>
      </w:r>
    </w:p>
    <w:p>
      <w:pPr>
        <w:pStyle w:val="Normal"/>
        <w:numPr>
          <w:ilvl w:val="0"/>
          <w:numId w:val="0"/>
        </w:numPr>
        <w:spacing w:lineRule="auto" w:line="276" w:before="57" w:after="57"/>
        <w:ind w:left="0" w:right="0" w:hanging="0"/>
        <w:jc w:val="both"/>
        <w:rPr>
          <w:rFonts w:ascii="Verdana" w:hAnsi="Verdana" w:cs="Verdana"/>
          <w:b/>
          <w:sz w:val="12"/>
          <w:szCs w:val="12"/>
          <w:u w:val="single"/>
        </w:rPr>
      </w:pPr>
      <w:r>
        <w:rPr>
          <w:rFonts w:cs="Verdana" w:ascii="Verdana" w:hAnsi="Verdana"/>
          <w:b/>
          <w:sz w:val="12"/>
          <w:szCs w:val="12"/>
          <w:u w:val="single"/>
        </w:rPr>
      </w:r>
    </w:p>
    <w:p>
      <w:pPr>
        <w:pStyle w:val="Normal"/>
        <w:numPr>
          <w:ilvl w:val="0"/>
          <w:numId w:val="0"/>
        </w:numPr>
        <w:spacing w:lineRule="auto" w:line="276" w:before="57" w:after="57"/>
        <w:ind w:left="0" w:right="0" w:hanging="0"/>
        <w:jc w:val="both"/>
        <w:rPr>
          <w:rFonts w:ascii="Verdana" w:hAnsi="Verdana" w:eastAsia="Batang;바탕" w:cs="Verdana"/>
          <w:b/>
          <w:bCs/>
          <w:i w:val="false"/>
          <w:i w:val="false"/>
          <w:iCs w:val="false"/>
          <w:sz w:val="20"/>
          <w:szCs w:val="20"/>
          <w:u w:val="single"/>
        </w:rPr>
      </w:pPr>
      <w:r>
        <w:rPr>
          <w:rFonts w:cs="Verdana" w:ascii="Verdana" w:hAnsi="Verdana"/>
          <w:b/>
          <w:sz w:val="20"/>
          <w:szCs w:val="20"/>
          <w:u w:val="single"/>
        </w:rPr>
        <w:t>CLÁUSULA SEXTA – DA DOTAÇÃO</w:t>
      </w:r>
    </w:p>
    <w:p>
      <w:pPr>
        <w:pStyle w:val="Normal"/>
        <w:numPr>
          <w:ilvl w:val="0"/>
          <w:numId w:val="0"/>
        </w:numPr>
        <w:spacing w:lineRule="auto" w:line="276" w:before="57" w:after="57"/>
        <w:ind w:left="0" w:right="0" w:hanging="0"/>
        <w:jc w:val="both"/>
        <w:rPr/>
      </w:pPr>
      <w:r>
        <w:rPr>
          <w:rFonts w:eastAsia="Batang;바탕" w:cs="Verdana" w:ascii="Verdana" w:hAnsi="Verdana"/>
          <w:b/>
          <w:bCs/>
          <w:i w:val="false"/>
          <w:iCs w:val="false"/>
          <w:sz w:val="20"/>
          <w:szCs w:val="20"/>
          <w:u w:val="single"/>
        </w:rPr>
        <w:t xml:space="preserve">6.1 – </w:t>
      </w:r>
      <w:r>
        <w:rPr>
          <w:rFonts w:eastAsia="Batang;바탕" w:cs="Verdana" w:ascii="Verdana" w:hAnsi="Verdana"/>
          <w:i/>
          <w:sz w:val="20"/>
          <w:szCs w:val="20"/>
          <w:u w:val="single"/>
        </w:rPr>
        <w:t>Por se tratar de processo de seleção de fornecedores para posterior contratação e aquisição através de Registro de Preços, na forma do Art. 15 da Lei Federal nº 8.666/93 e Decreto Municipal nº 441/2014, de 15 de Setembro de 2014, a dotação será indicada por ocasião da aquisição</w:t>
      </w:r>
      <w:r>
        <w:rPr>
          <w:rFonts w:cs="Verdana" w:ascii="Verdana" w:hAnsi="Verdana"/>
          <w:i/>
          <w:sz w:val="20"/>
          <w:szCs w:val="20"/>
          <w:u w:val="single"/>
        </w:rPr>
        <w:t>.</w:t>
      </w:r>
    </w:p>
    <w:p>
      <w:pPr>
        <w:pStyle w:val="Normal"/>
        <w:numPr>
          <w:ilvl w:val="0"/>
          <w:numId w:val="0"/>
        </w:numPr>
        <w:spacing w:lineRule="auto" w:line="276" w:before="57" w:after="57"/>
        <w:ind w:left="0" w:right="0" w:hanging="0"/>
        <w:jc w:val="both"/>
        <w:rPr/>
      </w:pPr>
      <w:r>
        <w:rPr/>
      </w:r>
    </w:p>
    <w:p>
      <w:pPr>
        <w:pStyle w:val="Normal"/>
        <w:numPr>
          <w:ilvl w:val="0"/>
          <w:numId w:val="0"/>
        </w:numPr>
        <w:spacing w:lineRule="auto" w:line="276" w:before="57" w:after="57"/>
        <w:ind w:left="0" w:right="0" w:hanging="0"/>
        <w:jc w:val="both"/>
        <w:rPr>
          <w:rFonts w:ascii="Verdana" w:hAnsi="Verdana" w:cs="Verdana"/>
          <w:bCs/>
          <w:sz w:val="20"/>
          <w:szCs w:val="20"/>
        </w:rPr>
      </w:pPr>
      <w:r>
        <w:rPr>
          <w:rFonts w:cs="Verdana" w:ascii="Verdana" w:hAnsi="Verdana"/>
          <w:b/>
          <w:sz w:val="20"/>
          <w:szCs w:val="20"/>
          <w:u w:val="single"/>
        </w:rPr>
        <w:t>CLÁUSULA SÉTIMA – DAS OBRIGAÇÕES E RESPONSABILIDADES DA CONTRATADA</w:t>
      </w:r>
    </w:p>
    <w:p>
      <w:pPr>
        <w:pStyle w:val="PargrafodaLista"/>
        <w:numPr>
          <w:ilvl w:val="0"/>
          <w:numId w:val="3"/>
        </w:numPr>
        <w:tabs>
          <w:tab w:val="clear" w:pos="708"/>
          <w:tab w:val="left" w:pos="518" w:leader="none"/>
        </w:tabs>
        <w:spacing w:lineRule="auto" w:line="276" w:before="57" w:after="57"/>
        <w:ind w:left="0" w:right="0" w:hanging="0"/>
        <w:contextualSpacing/>
        <w:jc w:val="both"/>
        <w:rPr>
          <w:rFonts w:ascii="Verdana" w:hAnsi="Verdana" w:cs="Verdana"/>
          <w:sz w:val="20"/>
          <w:szCs w:val="20"/>
        </w:rPr>
      </w:pPr>
      <w:r>
        <w:rPr>
          <w:rFonts w:cs="Verdana" w:ascii="Verdana" w:hAnsi="Verdana"/>
          <w:bCs/>
          <w:sz w:val="20"/>
          <w:szCs w:val="20"/>
        </w:rPr>
        <w:t>Entregar os produtos</w:t>
      </w:r>
      <w:r>
        <w:rPr>
          <w:rFonts w:cs="Verdana" w:ascii="Verdana" w:hAnsi="Verdana"/>
          <w:sz w:val="20"/>
          <w:szCs w:val="20"/>
        </w:rPr>
        <w:t>,</w:t>
      </w:r>
      <w:r>
        <w:rPr>
          <w:rFonts w:cs="Verdana" w:ascii="Verdana" w:hAnsi="Verdana"/>
          <w:bCs/>
          <w:sz w:val="20"/>
          <w:szCs w:val="20"/>
        </w:rPr>
        <w:t xml:space="preserve"> rigorosamente de acordo com as normas e especificações constantes nesta Ata de Registro de Preços, obedecidos, dentre outros, os critérios e padrões de qualidade predeterminados</w:t>
      </w:r>
      <w:r>
        <w:rPr>
          <w:rFonts w:cs="Verdana" w:ascii="Verdana" w:hAnsi="Verdana"/>
          <w:sz w:val="20"/>
          <w:szCs w:val="20"/>
        </w:rPr>
        <w:t>;</w:t>
      </w:r>
    </w:p>
    <w:p>
      <w:pPr>
        <w:pStyle w:val="PargrafodaLista"/>
        <w:numPr>
          <w:ilvl w:val="0"/>
          <w:numId w:val="3"/>
        </w:numPr>
        <w:tabs>
          <w:tab w:val="clear" w:pos="708"/>
          <w:tab w:val="left" w:pos="518" w:leader="none"/>
        </w:tabs>
        <w:spacing w:lineRule="auto" w:line="276" w:before="57" w:after="57"/>
        <w:ind w:left="0" w:right="0" w:hanging="0"/>
        <w:contextualSpacing/>
        <w:jc w:val="both"/>
        <w:rPr>
          <w:rFonts w:ascii="Verdana" w:hAnsi="Verdana" w:cs="Verdana"/>
          <w:sz w:val="20"/>
          <w:szCs w:val="20"/>
        </w:rPr>
      </w:pPr>
      <w:r>
        <w:rPr>
          <w:rFonts w:cs="Verdana" w:ascii="Verdana" w:hAnsi="Verdana"/>
          <w:sz w:val="20"/>
          <w:szCs w:val="20"/>
        </w:rPr>
        <w:t>Providenciar a imediata correção das deficiências apontadas pelo setor competente da Administração Pública Municipal;</w:t>
      </w:r>
    </w:p>
    <w:p>
      <w:pPr>
        <w:pStyle w:val="PargrafodaLista"/>
        <w:numPr>
          <w:ilvl w:val="0"/>
          <w:numId w:val="3"/>
        </w:numPr>
        <w:tabs>
          <w:tab w:val="clear" w:pos="708"/>
          <w:tab w:val="left" w:pos="518" w:leader="none"/>
        </w:tabs>
        <w:spacing w:lineRule="auto" w:line="276" w:before="57" w:after="57"/>
        <w:ind w:left="0" w:right="0" w:hanging="0"/>
        <w:contextualSpacing/>
        <w:jc w:val="both"/>
        <w:rPr>
          <w:rFonts w:ascii="Verdana" w:hAnsi="Verdana" w:cs="Verdana"/>
          <w:sz w:val="20"/>
          <w:szCs w:val="20"/>
        </w:rPr>
      </w:pPr>
      <w:r>
        <w:rPr>
          <w:rFonts w:cs="Verdana" w:ascii="Verdana" w:hAnsi="Verdana"/>
          <w:sz w:val="20"/>
          <w:szCs w:val="20"/>
        </w:rPr>
        <w:t>Transportar os produtos e disponibilizar mão de obra para entrega dos mesmos;</w:t>
      </w:r>
    </w:p>
    <w:p>
      <w:pPr>
        <w:pStyle w:val="PargrafodaLista"/>
        <w:numPr>
          <w:ilvl w:val="0"/>
          <w:numId w:val="3"/>
        </w:numPr>
        <w:tabs>
          <w:tab w:val="clear" w:pos="708"/>
          <w:tab w:val="left" w:pos="518" w:leader="none"/>
        </w:tabs>
        <w:spacing w:lineRule="auto" w:line="276" w:before="57" w:after="57"/>
        <w:ind w:left="0" w:right="0" w:hanging="0"/>
        <w:contextualSpacing/>
        <w:jc w:val="both"/>
        <w:rPr>
          <w:rFonts w:ascii="Verdana" w:hAnsi="Verdana" w:cs="Verdana"/>
          <w:sz w:val="20"/>
          <w:szCs w:val="20"/>
        </w:rPr>
      </w:pPr>
      <w:r>
        <w:rPr>
          <w:rFonts w:cs="Verdana" w:ascii="Verdana" w:hAnsi="Verdana"/>
          <w:sz w:val="20"/>
          <w:szCs w:val="20"/>
        </w:rPr>
        <w:t>Prestar todos os esclarecimentos solicitados pelo Contratante, atendendo prontamente a todas as suas demandas;</w:t>
      </w:r>
    </w:p>
    <w:p>
      <w:pPr>
        <w:pStyle w:val="PargrafodaLista"/>
        <w:numPr>
          <w:ilvl w:val="0"/>
          <w:numId w:val="3"/>
        </w:numPr>
        <w:tabs>
          <w:tab w:val="clear" w:pos="708"/>
          <w:tab w:val="left" w:pos="518" w:leader="none"/>
        </w:tabs>
        <w:spacing w:lineRule="auto" w:line="276" w:before="57" w:after="57"/>
        <w:ind w:left="0" w:right="0" w:hanging="0"/>
        <w:contextualSpacing/>
        <w:jc w:val="both"/>
        <w:rPr>
          <w:rFonts w:ascii="Verdana" w:hAnsi="Verdana" w:cs="Verdana"/>
          <w:sz w:val="20"/>
          <w:szCs w:val="20"/>
        </w:rPr>
      </w:pPr>
      <w:r>
        <w:rPr>
          <w:rFonts w:cs="Verdana" w:ascii="Verdana" w:hAnsi="Verdana"/>
          <w:sz w:val="20"/>
          <w:szCs w:val="20"/>
        </w:rPr>
        <w:t>Custear o frete relativo a devolução dos produtos defeituosos dentro do prazo de garantia;</w:t>
      </w:r>
    </w:p>
    <w:p>
      <w:pPr>
        <w:pStyle w:val="PargrafodaLista"/>
        <w:numPr>
          <w:ilvl w:val="0"/>
          <w:numId w:val="3"/>
        </w:numPr>
        <w:tabs>
          <w:tab w:val="clear" w:pos="708"/>
          <w:tab w:val="left" w:pos="518" w:leader="none"/>
        </w:tabs>
        <w:spacing w:lineRule="auto" w:line="276" w:before="57" w:after="57"/>
        <w:ind w:left="0" w:right="0" w:hanging="0"/>
        <w:contextualSpacing/>
        <w:jc w:val="both"/>
        <w:rPr>
          <w:rFonts w:ascii="Verdana" w:hAnsi="Verdana" w:cs="Verdana"/>
          <w:sz w:val="20"/>
          <w:szCs w:val="20"/>
        </w:rPr>
      </w:pPr>
      <w:r>
        <w:rPr>
          <w:rFonts w:cs="Verdana" w:ascii="Verdana" w:hAnsi="Verdana"/>
          <w:sz w:val="20"/>
          <w:szCs w:val="20"/>
        </w:rPr>
        <w:t>Manter, durante toda a execução do contrato, a compatibilidade com as obrigações assumidas, conforme dispõe o inciso XIII, do artigo 55, da Lei nº 8.666/93.</w:t>
      </w:r>
    </w:p>
    <w:p>
      <w:pPr>
        <w:pStyle w:val="PargrafodaLista"/>
        <w:numPr>
          <w:ilvl w:val="0"/>
          <w:numId w:val="3"/>
        </w:numPr>
        <w:tabs>
          <w:tab w:val="clear" w:pos="708"/>
          <w:tab w:val="left" w:pos="518" w:leader="none"/>
        </w:tabs>
        <w:spacing w:lineRule="auto" w:line="276" w:before="57" w:after="57"/>
        <w:ind w:left="0" w:right="0" w:hanging="0"/>
        <w:contextualSpacing/>
        <w:jc w:val="both"/>
        <w:rPr>
          <w:rFonts w:ascii="Verdana" w:hAnsi="Verdana" w:cs="Verdana"/>
          <w:sz w:val="20"/>
          <w:szCs w:val="20"/>
        </w:rPr>
      </w:pPr>
      <w:r>
        <w:rPr>
          <w:rFonts w:cs="Verdana" w:ascii="Verdana" w:hAnsi="Verdana"/>
          <w:sz w:val="20"/>
          <w:szCs w:val="20"/>
        </w:rPr>
        <w:t>Observar as prescrições relativas às leis trabalhistas, previdenciárias, fiscais, securitárias e quaisquer outras não mencionadas, bem como, isentando o Contratante de qualquer responsabilidade;</w:t>
      </w:r>
    </w:p>
    <w:p>
      <w:pPr>
        <w:pStyle w:val="PargrafodaLista"/>
        <w:numPr>
          <w:ilvl w:val="0"/>
          <w:numId w:val="3"/>
        </w:numPr>
        <w:tabs>
          <w:tab w:val="clear" w:pos="708"/>
          <w:tab w:val="left" w:pos="518" w:leader="none"/>
        </w:tabs>
        <w:spacing w:lineRule="auto" w:line="276" w:before="57" w:after="57"/>
        <w:ind w:left="0" w:right="0" w:hanging="0"/>
        <w:contextualSpacing/>
        <w:jc w:val="both"/>
        <w:rPr>
          <w:rFonts w:ascii="Verdana" w:hAnsi="Verdana" w:cs="Verdana"/>
          <w:b/>
          <w:sz w:val="12"/>
          <w:szCs w:val="12"/>
          <w:u w:val="single"/>
        </w:rPr>
      </w:pPr>
      <w:r>
        <w:rPr>
          <w:rFonts w:cs="Verdana" w:ascii="Verdana" w:hAnsi="Verdana"/>
          <w:sz w:val="20"/>
          <w:szCs w:val="20"/>
        </w:rPr>
        <w:t>Apresentar nota fiscal eletrônica contendo a discriminação estabelecida na cláusula de pagamento.</w:t>
      </w:r>
    </w:p>
    <w:p>
      <w:pPr>
        <w:pStyle w:val="PargrafodaLista"/>
        <w:widowControl w:val="false"/>
        <w:spacing w:lineRule="auto" w:line="276" w:before="57" w:after="57"/>
        <w:ind w:left="0" w:right="0" w:hanging="0"/>
        <w:contextualSpacing/>
        <w:jc w:val="both"/>
        <w:rPr>
          <w:rFonts w:ascii="Verdana" w:hAnsi="Verdana" w:cs="Verdana"/>
          <w:b/>
          <w:sz w:val="12"/>
          <w:szCs w:val="12"/>
          <w:u w:val="single"/>
        </w:rPr>
      </w:pPr>
      <w:r>
        <w:rPr>
          <w:rFonts w:cs="Verdana" w:ascii="Verdana" w:hAnsi="Verdana"/>
          <w:b/>
          <w:sz w:val="12"/>
          <w:szCs w:val="12"/>
          <w:u w:val="single"/>
        </w:rPr>
      </w:r>
    </w:p>
    <w:p>
      <w:pPr>
        <w:pStyle w:val="PargrafodaLista"/>
        <w:widowControl w:val="false"/>
        <w:spacing w:lineRule="auto" w:line="276" w:before="57" w:after="57"/>
        <w:ind w:left="0" w:right="0" w:hanging="0"/>
        <w:contextualSpacing/>
        <w:jc w:val="both"/>
        <w:rPr>
          <w:rFonts w:ascii="Verdana" w:hAnsi="Verdana" w:cs="Verdana"/>
          <w:b/>
          <w:sz w:val="20"/>
          <w:szCs w:val="20"/>
        </w:rPr>
      </w:pPr>
      <w:r>
        <w:rPr>
          <w:rFonts w:cs="Verdana" w:ascii="Verdana" w:hAnsi="Verdana"/>
          <w:b/>
          <w:sz w:val="20"/>
          <w:szCs w:val="20"/>
          <w:u w:val="single"/>
        </w:rPr>
        <w:t>CLÁUSULA OITAVA – DAS OBRIGAÇÕES DA CONTRATANTE</w:t>
      </w:r>
    </w:p>
    <w:p>
      <w:pPr>
        <w:pStyle w:val="Corpo"/>
        <w:widowControl w:val="false"/>
        <w:tabs>
          <w:tab w:val="clear" w:pos="708"/>
          <w:tab w:val="right" w:pos="0" w:leader="none"/>
        </w:tabs>
        <w:spacing w:lineRule="auto" w:line="276" w:before="57" w:after="57"/>
        <w:ind w:left="0" w:right="0" w:hanging="0"/>
        <w:jc w:val="both"/>
        <w:rPr>
          <w:rFonts w:ascii="Verdana" w:hAnsi="Verdana" w:cs="Verdana"/>
          <w:b/>
          <w:color w:val="000000"/>
          <w:sz w:val="20"/>
          <w:szCs w:val="20"/>
        </w:rPr>
      </w:pPr>
      <w:r>
        <w:rPr>
          <w:rFonts w:cs="Verdana" w:ascii="Verdana" w:hAnsi="Verdana"/>
          <w:b/>
          <w:sz w:val="20"/>
          <w:szCs w:val="20"/>
        </w:rPr>
        <w:t xml:space="preserve">8.1 </w:t>
      </w:r>
      <w:r>
        <w:rPr>
          <w:rFonts w:cs="Verdana" w:ascii="Verdana" w:hAnsi="Verdana"/>
          <w:b w:val="false"/>
          <w:bCs w:val="false"/>
          <w:sz w:val="20"/>
          <w:szCs w:val="20"/>
        </w:rPr>
        <w:t>Proporcionar todas as facilidades, inclusive esclarecimentos atinentes ao objeto do Termo de Referência, para que a empresa possa cumprir as obrigações dentro das normas e condições da aquisição;</w:t>
      </w:r>
    </w:p>
    <w:p>
      <w:pPr>
        <w:pStyle w:val="Corpo"/>
        <w:widowControl w:val="false"/>
        <w:tabs>
          <w:tab w:val="clear" w:pos="708"/>
          <w:tab w:val="center" w:pos="0" w:leader="none"/>
          <w:tab w:val="right" w:pos="532" w:leader="none"/>
        </w:tabs>
        <w:spacing w:lineRule="auto" w:line="276" w:before="57" w:after="57"/>
        <w:ind w:left="0" w:right="0" w:hanging="0"/>
        <w:jc w:val="both"/>
        <w:rPr>
          <w:rFonts w:ascii="Verdana" w:hAnsi="Verdana" w:cs="Verdana"/>
          <w:b/>
          <w:color w:val="000000"/>
          <w:sz w:val="20"/>
          <w:szCs w:val="20"/>
        </w:rPr>
      </w:pPr>
      <w:r>
        <w:rPr>
          <w:rFonts w:cs="Verdana" w:ascii="Verdana" w:hAnsi="Verdana"/>
          <w:b/>
          <w:color w:val="000000"/>
          <w:sz w:val="20"/>
          <w:szCs w:val="20"/>
        </w:rPr>
        <w:t xml:space="preserve">8.2 </w:t>
      </w:r>
      <w:r>
        <w:rPr>
          <w:rFonts w:cs="Verdana" w:ascii="Verdana" w:hAnsi="Verdana"/>
          <w:color w:val="000000"/>
          <w:sz w:val="20"/>
          <w:szCs w:val="20"/>
        </w:rPr>
        <w:t>Cumprir todos os compromissos financeiros assumidos com a Contratada no prazo estipulado;</w:t>
      </w:r>
    </w:p>
    <w:p>
      <w:pPr>
        <w:pStyle w:val="Corpo"/>
        <w:widowControl w:val="false"/>
        <w:tabs>
          <w:tab w:val="clear" w:pos="708"/>
          <w:tab w:val="center" w:pos="0" w:leader="none"/>
          <w:tab w:val="right" w:pos="532" w:leader="none"/>
        </w:tabs>
        <w:spacing w:lineRule="auto" w:line="276" w:before="57" w:after="57"/>
        <w:ind w:left="0" w:right="0" w:hanging="0"/>
        <w:jc w:val="both"/>
        <w:rPr>
          <w:rFonts w:ascii="Verdana" w:hAnsi="Verdana" w:cs="Verdana"/>
          <w:b/>
          <w:sz w:val="20"/>
          <w:szCs w:val="20"/>
        </w:rPr>
      </w:pPr>
      <w:r>
        <w:rPr>
          <w:rFonts w:cs="Verdana" w:ascii="Verdana" w:hAnsi="Verdana"/>
          <w:b/>
          <w:color w:val="000000"/>
          <w:sz w:val="20"/>
          <w:szCs w:val="20"/>
        </w:rPr>
        <w:t xml:space="preserve">8.3 </w:t>
      </w:r>
      <w:r>
        <w:rPr>
          <w:rFonts w:cs="Verdana" w:ascii="Verdana" w:hAnsi="Verdana"/>
          <w:color w:val="000000"/>
          <w:sz w:val="20"/>
          <w:szCs w:val="20"/>
        </w:rPr>
        <w:t>Cumprir e fazer cumprir todas as disposições contidas no Termo de Referência;</w:t>
      </w:r>
    </w:p>
    <w:p>
      <w:pPr>
        <w:pStyle w:val="Corpo"/>
        <w:widowControl w:val="false"/>
        <w:tabs>
          <w:tab w:val="clear" w:pos="708"/>
          <w:tab w:val="center" w:pos="0" w:leader="none"/>
          <w:tab w:val="right" w:pos="532" w:leader="none"/>
        </w:tabs>
        <w:spacing w:lineRule="auto" w:line="276" w:before="57" w:after="57"/>
        <w:ind w:left="0" w:right="0" w:hanging="0"/>
        <w:jc w:val="both"/>
        <w:rPr>
          <w:rFonts w:ascii="Verdana" w:hAnsi="Verdana" w:cs="Verdana"/>
          <w:b/>
          <w:bCs/>
          <w:color w:val="000000"/>
          <w:sz w:val="20"/>
          <w:szCs w:val="20"/>
        </w:rPr>
      </w:pPr>
      <w:r>
        <w:rPr>
          <w:rFonts w:cs="Verdana" w:ascii="Verdana" w:hAnsi="Verdana"/>
          <w:b/>
          <w:sz w:val="20"/>
          <w:szCs w:val="20"/>
        </w:rPr>
        <w:t xml:space="preserve">8.4 </w:t>
      </w:r>
      <w:r>
        <w:rPr>
          <w:rFonts w:cs="Verdana" w:ascii="Verdana" w:hAnsi="Verdana"/>
          <w:sz w:val="20"/>
          <w:szCs w:val="20"/>
        </w:rPr>
        <w:t>Alocar os recursos orçamentários e financeiros necessários a execução da contratação</w:t>
      </w:r>
      <w:r>
        <w:rPr>
          <w:rFonts w:cs="Verdana" w:ascii="Verdana" w:hAnsi="Verdana"/>
          <w:color w:val="000000"/>
          <w:sz w:val="20"/>
          <w:szCs w:val="20"/>
        </w:rPr>
        <w:t>;</w:t>
      </w:r>
    </w:p>
    <w:p>
      <w:pPr>
        <w:pStyle w:val="Corpo"/>
        <w:widowControl w:val="false"/>
        <w:tabs>
          <w:tab w:val="clear" w:pos="708"/>
          <w:tab w:val="center" w:pos="0" w:leader="none"/>
          <w:tab w:val="right" w:pos="532" w:leader="none"/>
        </w:tabs>
        <w:spacing w:lineRule="auto" w:line="276" w:before="57" w:after="57"/>
        <w:ind w:left="0" w:right="0" w:hanging="0"/>
        <w:jc w:val="both"/>
        <w:rPr>
          <w:rFonts w:ascii="Verdana" w:hAnsi="Verdana" w:cs="Verdana"/>
          <w:b/>
          <w:bCs/>
          <w:color w:val="000000"/>
          <w:sz w:val="20"/>
          <w:szCs w:val="20"/>
        </w:rPr>
      </w:pPr>
      <w:r>
        <w:rPr>
          <w:rFonts w:cs="Verdana" w:ascii="Verdana" w:hAnsi="Verdana"/>
          <w:b/>
          <w:bCs/>
          <w:color w:val="000000"/>
          <w:sz w:val="20"/>
          <w:szCs w:val="20"/>
        </w:rPr>
        <w:t>8.5</w:t>
      </w:r>
      <w:r>
        <w:rPr>
          <w:rFonts w:cs="Verdana" w:ascii="Verdana" w:hAnsi="Verdana"/>
          <w:color w:val="000000"/>
          <w:sz w:val="20"/>
          <w:szCs w:val="20"/>
        </w:rPr>
        <w:t xml:space="preserve"> Acompanhar, coordenar e fiscalizar a contratação, anotando em registro próprio os fatos que, a seu critério, exijam medidas corretivas no fornecimento dos produtos;</w:t>
      </w:r>
    </w:p>
    <w:p>
      <w:pPr>
        <w:pStyle w:val="Corpo"/>
        <w:widowControl w:val="false"/>
        <w:tabs>
          <w:tab w:val="clear" w:pos="708"/>
          <w:tab w:val="center" w:pos="0" w:leader="none"/>
          <w:tab w:val="right" w:pos="532" w:leader="none"/>
        </w:tabs>
        <w:spacing w:lineRule="auto" w:line="276" w:before="57" w:after="57"/>
        <w:ind w:left="0" w:right="0" w:hanging="0"/>
        <w:jc w:val="both"/>
        <w:rPr>
          <w:rFonts w:ascii="Verdana" w:hAnsi="Verdana" w:cs="Verdana"/>
          <w:b/>
          <w:bCs/>
          <w:color w:val="000000"/>
          <w:sz w:val="20"/>
          <w:szCs w:val="20"/>
        </w:rPr>
      </w:pPr>
      <w:r>
        <w:rPr>
          <w:rFonts w:cs="Verdana" w:ascii="Verdana" w:hAnsi="Verdana"/>
          <w:b/>
          <w:bCs/>
          <w:color w:val="000000"/>
          <w:sz w:val="20"/>
          <w:szCs w:val="20"/>
        </w:rPr>
        <w:t>8.6</w:t>
      </w:r>
      <w:r>
        <w:rPr>
          <w:rFonts w:cs="Verdana" w:ascii="Verdana" w:hAnsi="Verdana"/>
          <w:color w:val="000000"/>
          <w:sz w:val="20"/>
          <w:szCs w:val="20"/>
        </w:rPr>
        <w:t xml:space="preserve"> Notificar a Contratada, por escrito, sobre imperfeições, falhas ou irregularidades constatadas nos fornecimentos, para que sejam tomadas as medidas corretivas necessárias;</w:t>
      </w:r>
    </w:p>
    <w:p>
      <w:pPr>
        <w:pStyle w:val="Corpo"/>
        <w:widowControl w:val="false"/>
        <w:tabs>
          <w:tab w:val="clear" w:pos="708"/>
          <w:tab w:val="center" w:pos="0" w:leader="none"/>
          <w:tab w:val="right" w:pos="532" w:leader="none"/>
        </w:tabs>
        <w:spacing w:lineRule="auto" w:line="276" w:before="57" w:after="57"/>
        <w:ind w:left="0" w:right="0" w:hanging="0"/>
        <w:jc w:val="both"/>
        <w:rPr>
          <w:rFonts w:ascii="Verdana" w:hAnsi="Verdana" w:cs="Verdana"/>
          <w:sz w:val="12"/>
          <w:szCs w:val="12"/>
        </w:rPr>
      </w:pPr>
      <w:r>
        <w:rPr>
          <w:rFonts w:cs="Verdana" w:ascii="Verdana" w:hAnsi="Verdana"/>
          <w:b/>
          <w:bCs/>
          <w:color w:val="000000"/>
          <w:sz w:val="20"/>
          <w:szCs w:val="20"/>
        </w:rPr>
        <w:t>8.7</w:t>
      </w:r>
      <w:r>
        <w:rPr>
          <w:rFonts w:cs="Verdana" w:ascii="Verdana" w:hAnsi="Verdana"/>
          <w:color w:val="000000"/>
          <w:sz w:val="20"/>
          <w:szCs w:val="20"/>
        </w:rPr>
        <w:t xml:space="preserve"> Notificar a Contratada, por escrito, a disposição de aplicação de eventuais penalidades, garantindo o contraditório e a ampla defesa.</w:t>
      </w:r>
    </w:p>
    <w:p>
      <w:pPr>
        <w:pStyle w:val="PargrafodaLista"/>
        <w:spacing w:before="0" w:after="0"/>
        <w:ind w:left="0" w:right="0" w:hanging="0"/>
        <w:contextualSpacing w:val="false"/>
        <w:rPr>
          <w:rFonts w:ascii="Verdana" w:hAnsi="Verdana" w:cs="Verdana"/>
          <w:sz w:val="12"/>
          <w:szCs w:val="12"/>
        </w:rPr>
      </w:pPr>
      <w:r>
        <w:rPr>
          <w:rFonts w:cs="Verdana" w:ascii="Verdana" w:hAnsi="Verdana"/>
          <w:sz w:val="12"/>
          <w:szCs w:val="12"/>
        </w:rPr>
      </w:r>
    </w:p>
    <w:p>
      <w:pPr>
        <w:pStyle w:val="Normal"/>
        <w:spacing w:lineRule="auto" w:line="276" w:before="57" w:after="57"/>
        <w:ind w:left="0" w:right="0" w:hanging="0"/>
        <w:jc w:val="both"/>
        <w:rPr>
          <w:rFonts w:ascii="Verdana" w:hAnsi="Verdana" w:cs="Verdana"/>
          <w:b/>
          <w:sz w:val="20"/>
          <w:szCs w:val="20"/>
        </w:rPr>
      </w:pPr>
      <w:r>
        <w:rPr>
          <w:rFonts w:cs="Verdana" w:ascii="Verdana" w:hAnsi="Verdana"/>
          <w:b/>
          <w:sz w:val="20"/>
          <w:szCs w:val="20"/>
          <w:u w:val="single"/>
        </w:rPr>
        <w:t>CLÁUSULA NONA – DAS PENALIDADES</w:t>
      </w:r>
    </w:p>
    <w:p>
      <w:pPr>
        <w:pStyle w:val="Normal"/>
        <w:spacing w:lineRule="auto" w:line="276" w:before="57" w:after="57"/>
        <w:ind w:left="0" w:right="0" w:hanging="0"/>
        <w:jc w:val="both"/>
        <w:rPr>
          <w:rFonts w:ascii="Verdana" w:hAnsi="Verdana" w:eastAsia="Times New Roman" w:cs="Verdana"/>
          <w:b/>
          <w:bCs/>
          <w:color w:val="000000"/>
          <w:sz w:val="20"/>
          <w:szCs w:val="20"/>
          <w:lang w:val="pt-BR" w:eastAsia="zh-CN" w:bidi="ar-SA"/>
        </w:rPr>
      </w:pPr>
      <w:r>
        <w:rPr>
          <w:rFonts w:cs="Verdana" w:ascii="Verdana" w:hAnsi="Verdana"/>
          <w:b/>
          <w:sz w:val="20"/>
          <w:szCs w:val="20"/>
        </w:rPr>
        <w:t>9.1 –</w:t>
      </w:r>
      <w:r>
        <w:rPr>
          <w:rFonts w:cs="Verdana" w:ascii="Verdana" w:hAnsi="Verdana"/>
          <w:sz w:val="20"/>
          <w:szCs w:val="20"/>
        </w:rPr>
        <w:t xml:space="preserve"> Pela inexecução total ou parcial do objeto do SRP, a Administração do MUNICÍPIO DE SÃO GABRIEL DA PALHA/ES poderá, garantida a prévia defesa, aplicar ao fornecedor as sansões previstas na Lei Vigente, Edital e seus Anexos bem como presente Ata.</w:t>
      </w:r>
    </w:p>
    <w:p>
      <w:pPr>
        <w:pStyle w:val="Normal"/>
        <w:jc w:val="both"/>
        <w:rPr>
          <w:rFonts w:ascii="Verdana" w:hAnsi="Verdana" w:eastAsia="Times New Roman" w:cs="Verdana"/>
          <w:color w:val="auto"/>
          <w:sz w:val="12"/>
          <w:szCs w:val="12"/>
          <w:lang w:val="pt-BR" w:eastAsia="zh-CN" w:bidi="ar-SA"/>
        </w:rPr>
      </w:pPr>
      <w:r>
        <w:rPr>
          <w:rFonts w:eastAsia="Times New Roman" w:cs="Verdana" w:ascii="Verdana" w:hAnsi="Verdana"/>
          <w:b/>
          <w:bCs/>
          <w:color w:val="000000"/>
          <w:sz w:val="20"/>
          <w:szCs w:val="20"/>
          <w:lang w:val="pt-BR" w:eastAsia="zh-CN" w:bidi="ar-SA"/>
        </w:rPr>
        <w:t>9.2</w:t>
      </w:r>
      <w:r>
        <w:rPr>
          <w:rFonts w:eastAsia="Times New Roman" w:cs="Verdana" w:ascii="Verdana" w:hAnsi="Verdana"/>
          <w:color w:val="000000"/>
          <w:sz w:val="20"/>
          <w:szCs w:val="20"/>
          <w:lang w:val="pt-BR" w:eastAsia="zh-CN" w:bidi="ar-SA"/>
        </w:rPr>
        <w:t xml:space="preserve"> – O r</w:t>
      </w:r>
      <w:r>
        <w:rPr>
          <w:rFonts w:eastAsia="Times New Roman" w:cs="Verdana" w:ascii="Verdana" w:hAnsi="Verdana"/>
          <w:color w:val="000000"/>
          <w:sz w:val="20"/>
          <w:szCs w:val="20"/>
          <w:shd w:fill="FFFFFF" w:val="clear"/>
          <w:lang w:val="pt-BR" w:eastAsia="zh-CN" w:bidi="ar-SA"/>
        </w:rPr>
        <w:t>econhecimento dos direitos da Administração, em caso de rescisão administrativa prevista no art. 77 da Lei nº 8.666/93, em atenção ao que determina seu Art. 55, IX</w:t>
      </w:r>
      <w:r>
        <w:rPr>
          <w:rFonts w:eastAsia="Times New Roman" w:cs="Arial" w:ascii="Arial" w:hAnsi="Arial"/>
          <w:color w:val="000000"/>
          <w:sz w:val="20"/>
          <w:szCs w:val="20"/>
          <w:shd w:fill="FFFFFF" w:val="clear"/>
          <w:lang w:val="pt-BR" w:eastAsia="zh-CN" w:bidi="ar-SA"/>
        </w:rPr>
        <w:t>;</w:t>
      </w:r>
    </w:p>
    <w:p>
      <w:pPr>
        <w:pStyle w:val="Normal"/>
        <w:spacing w:lineRule="auto" w:line="276" w:before="57" w:after="57"/>
        <w:ind w:left="0" w:right="0" w:hanging="0"/>
        <w:jc w:val="both"/>
        <w:rPr>
          <w:rFonts w:ascii="Verdana" w:hAnsi="Verdana" w:eastAsia="Times New Roman" w:cs="Verdana"/>
          <w:color w:val="auto"/>
          <w:sz w:val="12"/>
          <w:szCs w:val="12"/>
          <w:lang w:val="pt-BR" w:eastAsia="zh-CN" w:bidi="ar-SA"/>
        </w:rPr>
      </w:pPr>
      <w:r>
        <w:rPr>
          <w:rFonts w:eastAsia="Times New Roman" w:cs="Verdana" w:ascii="Verdana" w:hAnsi="Verdana"/>
          <w:color w:val="auto"/>
          <w:sz w:val="12"/>
          <w:szCs w:val="12"/>
          <w:lang w:val="pt-BR" w:eastAsia="zh-CN" w:bidi="ar-SA"/>
        </w:rPr>
      </w:r>
    </w:p>
    <w:p>
      <w:pPr>
        <w:pStyle w:val="Normal"/>
        <w:spacing w:lineRule="auto" w:line="276" w:before="57" w:after="57"/>
        <w:ind w:left="0" w:right="0" w:hanging="0"/>
        <w:jc w:val="both"/>
        <w:rPr>
          <w:rFonts w:ascii="Verdana" w:hAnsi="Verdana" w:cs="Verdana"/>
          <w:b/>
          <w:sz w:val="20"/>
          <w:szCs w:val="20"/>
        </w:rPr>
      </w:pPr>
      <w:r>
        <w:rPr>
          <w:rFonts w:cs="Verdana" w:ascii="Verdana" w:hAnsi="Verdana"/>
          <w:b/>
          <w:sz w:val="20"/>
          <w:szCs w:val="20"/>
          <w:u w:val="single"/>
        </w:rPr>
        <w:t>CLÁUSULA DÉCIMA – DO CANCELAMENTO DOS PREÇOS REGISTRADOS</w:t>
      </w:r>
    </w:p>
    <w:p>
      <w:pPr>
        <w:pStyle w:val="Normal"/>
        <w:spacing w:lineRule="auto" w:line="276" w:before="57" w:after="57"/>
        <w:ind w:left="0" w:right="0" w:hanging="0"/>
        <w:jc w:val="both"/>
        <w:rPr>
          <w:rFonts w:ascii="Verdana" w:hAnsi="Verdana" w:cs="Verdana"/>
          <w:b/>
          <w:sz w:val="20"/>
          <w:szCs w:val="20"/>
        </w:rPr>
      </w:pPr>
      <w:r>
        <w:rPr>
          <w:rFonts w:cs="Verdana" w:ascii="Verdana" w:hAnsi="Verdana"/>
          <w:b/>
          <w:sz w:val="20"/>
          <w:szCs w:val="20"/>
        </w:rPr>
        <w:t>10.1 –</w:t>
      </w:r>
      <w:r>
        <w:rPr>
          <w:rFonts w:cs="Verdana" w:ascii="Verdana" w:hAnsi="Verdana"/>
          <w:sz w:val="20"/>
          <w:szCs w:val="20"/>
        </w:rPr>
        <w:t xml:space="preserve"> O fornecedor terá seu registro de preço cancelado quando:</w:t>
      </w:r>
    </w:p>
    <w:p>
      <w:pPr>
        <w:pStyle w:val="Normal"/>
        <w:autoSpaceDE w:val="false"/>
        <w:spacing w:lineRule="auto" w:line="276" w:before="57" w:after="57"/>
        <w:ind w:left="0" w:right="0" w:hanging="0"/>
        <w:jc w:val="both"/>
        <w:rPr>
          <w:rFonts w:ascii="Verdana" w:hAnsi="Verdana" w:cs="Verdana"/>
          <w:b/>
          <w:sz w:val="20"/>
          <w:szCs w:val="20"/>
        </w:rPr>
      </w:pPr>
      <w:r>
        <w:rPr>
          <w:rFonts w:cs="Verdana" w:ascii="Verdana" w:hAnsi="Verdana"/>
          <w:b/>
          <w:sz w:val="20"/>
          <w:szCs w:val="20"/>
        </w:rPr>
        <w:t>a)</w:t>
      </w:r>
      <w:r>
        <w:rPr>
          <w:rFonts w:cs="Verdana" w:ascii="Verdana" w:hAnsi="Verdana"/>
          <w:sz w:val="20"/>
          <w:szCs w:val="20"/>
        </w:rPr>
        <w:t xml:space="preserve"> descumprir as condições da ata de registro de preços;</w:t>
      </w:r>
    </w:p>
    <w:p>
      <w:pPr>
        <w:pStyle w:val="Normal"/>
        <w:autoSpaceDE w:val="false"/>
        <w:spacing w:lineRule="auto" w:line="276" w:before="57" w:after="57"/>
        <w:ind w:left="0" w:right="0" w:hanging="0"/>
        <w:jc w:val="both"/>
        <w:rPr>
          <w:rFonts w:ascii="Verdana" w:hAnsi="Verdana" w:cs="Verdana"/>
          <w:b/>
          <w:sz w:val="20"/>
          <w:szCs w:val="20"/>
        </w:rPr>
      </w:pPr>
      <w:r>
        <w:rPr>
          <w:rFonts w:cs="Verdana" w:ascii="Verdana" w:hAnsi="Verdana"/>
          <w:b/>
          <w:sz w:val="20"/>
          <w:szCs w:val="20"/>
        </w:rPr>
        <w:t>b)</w:t>
      </w:r>
      <w:r>
        <w:rPr>
          <w:rFonts w:cs="Verdana" w:ascii="Verdana" w:hAnsi="Verdana"/>
          <w:sz w:val="20"/>
          <w:szCs w:val="20"/>
        </w:rPr>
        <w:t xml:space="preserve"> não retirar a nota de empenho ou instrumento equivalente no prazo estabelecido pela Administração, sem justificativa aceitável;</w:t>
      </w:r>
    </w:p>
    <w:p>
      <w:pPr>
        <w:pStyle w:val="Normal"/>
        <w:autoSpaceDE w:val="false"/>
        <w:spacing w:lineRule="auto" w:line="276" w:before="57" w:after="57"/>
        <w:ind w:left="0" w:right="0" w:hanging="0"/>
        <w:jc w:val="both"/>
        <w:rPr>
          <w:rFonts w:ascii="Verdana" w:hAnsi="Verdana" w:cs="Verdana"/>
          <w:b/>
          <w:sz w:val="20"/>
          <w:szCs w:val="20"/>
        </w:rPr>
      </w:pPr>
      <w:r>
        <w:rPr>
          <w:rFonts w:cs="Verdana" w:ascii="Verdana" w:hAnsi="Verdana"/>
          <w:b/>
          <w:sz w:val="20"/>
          <w:szCs w:val="20"/>
        </w:rPr>
        <w:t>c)</w:t>
      </w:r>
      <w:r>
        <w:rPr>
          <w:rFonts w:cs="Verdana" w:ascii="Verdana" w:hAnsi="Verdana"/>
          <w:sz w:val="20"/>
          <w:szCs w:val="20"/>
        </w:rPr>
        <w:t xml:space="preserve"> não aceitar a redução do seu preço registrado, na hipótese deste se tornar superior àqueles praticados no mercado; e</w:t>
      </w:r>
    </w:p>
    <w:p>
      <w:pPr>
        <w:pStyle w:val="Normal"/>
        <w:autoSpaceDE w:val="false"/>
        <w:spacing w:lineRule="auto" w:line="276" w:before="57" w:after="57"/>
        <w:ind w:left="0" w:right="0" w:hanging="0"/>
        <w:jc w:val="both"/>
        <w:rPr>
          <w:rFonts w:ascii="Verdana" w:hAnsi="Verdana" w:cs="Verdana"/>
          <w:b/>
          <w:sz w:val="20"/>
          <w:szCs w:val="20"/>
        </w:rPr>
      </w:pPr>
      <w:r>
        <w:rPr>
          <w:rFonts w:cs="Verdana" w:ascii="Verdana" w:hAnsi="Verdana"/>
          <w:b/>
          <w:sz w:val="20"/>
          <w:szCs w:val="20"/>
        </w:rPr>
        <w:t>d)</w:t>
      </w:r>
      <w:r>
        <w:rPr>
          <w:rFonts w:cs="Verdana" w:ascii="Verdana" w:hAnsi="Verdana"/>
          <w:sz w:val="20"/>
          <w:szCs w:val="20"/>
        </w:rPr>
        <w:t xml:space="preserve"> sofrer sanção prevista nos incisos III ou IV, do caput do Art. 87, da Lei n.º 8.666, de 1993, ou no Art. 7.º, da Lei n.º 10.520, de 2002.</w:t>
      </w:r>
    </w:p>
    <w:p>
      <w:pPr>
        <w:pStyle w:val="Normal"/>
        <w:autoSpaceDE w:val="false"/>
        <w:spacing w:lineRule="auto" w:line="276" w:before="57" w:after="57"/>
        <w:ind w:left="0" w:right="0" w:hanging="0"/>
        <w:jc w:val="both"/>
        <w:rPr>
          <w:rFonts w:ascii="Verdana" w:hAnsi="Verdana" w:cs="Verdana"/>
          <w:b/>
          <w:sz w:val="20"/>
          <w:szCs w:val="20"/>
        </w:rPr>
      </w:pPr>
      <w:r>
        <w:rPr>
          <w:rFonts w:cs="Verdana" w:ascii="Verdana" w:hAnsi="Verdana"/>
          <w:b/>
          <w:sz w:val="20"/>
          <w:szCs w:val="20"/>
        </w:rPr>
        <w:t>e)</w:t>
      </w:r>
      <w:r>
        <w:rPr>
          <w:rFonts w:cs="Verdana" w:ascii="Verdana" w:hAnsi="Verdana"/>
          <w:sz w:val="20"/>
          <w:szCs w:val="20"/>
        </w:rPr>
        <w:t xml:space="preserve"> O cancelamento de registros nas hipóteses previstas nas letras a, b e d, deste capítulo, será formalizado por despacho do órgão gerenciador, assegurado o contraditório e a ampla defesa.</w:t>
      </w:r>
    </w:p>
    <w:p>
      <w:pPr>
        <w:pStyle w:val="Normal"/>
        <w:autoSpaceDE w:val="false"/>
        <w:spacing w:lineRule="auto" w:line="276" w:before="57" w:after="57"/>
        <w:ind w:left="0" w:right="0" w:hanging="0"/>
        <w:jc w:val="both"/>
        <w:rPr>
          <w:rFonts w:ascii="Verdana" w:hAnsi="Verdana" w:cs="Verdana"/>
          <w:sz w:val="20"/>
          <w:szCs w:val="20"/>
        </w:rPr>
      </w:pPr>
      <w:r>
        <w:rPr>
          <w:rFonts w:cs="Verdana" w:ascii="Verdana" w:hAnsi="Verdana"/>
          <w:b/>
          <w:sz w:val="20"/>
          <w:szCs w:val="20"/>
        </w:rPr>
        <w:t xml:space="preserve">10.2 – </w:t>
      </w:r>
      <w:r>
        <w:rPr>
          <w:rFonts w:cs="Verdana" w:ascii="Verdana" w:hAnsi="Verdana"/>
          <w:sz w:val="20"/>
          <w:szCs w:val="20"/>
        </w:rPr>
        <w:t>O cancelamento do registro de preços poderá ocorrer por fato superveniente, decorrente de caso fortuito ou força maior, que prejudique o cumprimento da ata, devidamente comprovados e justificados:</w:t>
      </w:r>
    </w:p>
    <w:p>
      <w:pPr>
        <w:pStyle w:val="Normal"/>
        <w:autoSpaceDE w:val="false"/>
        <w:spacing w:lineRule="auto" w:line="276" w:before="57" w:after="57"/>
        <w:ind w:left="0" w:right="0" w:hanging="0"/>
        <w:jc w:val="both"/>
        <w:rPr>
          <w:rFonts w:ascii="Verdana" w:hAnsi="Verdana" w:cs="Verdana"/>
          <w:sz w:val="20"/>
          <w:szCs w:val="20"/>
        </w:rPr>
      </w:pPr>
      <w:r>
        <w:rPr>
          <w:rFonts w:cs="Verdana" w:ascii="Verdana" w:hAnsi="Verdana"/>
          <w:sz w:val="20"/>
          <w:szCs w:val="20"/>
        </w:rPr>
        <w:t>a) por razão de interesse público; e</w:t>
      </w:r>
    </w:p>
    <w:p>
      <w:pPr>
        <w:pStyle w:val="Normal"/>
        <w:numPr>
          <w:ilvl w:val="0"/>
          <w:numId w:val="0"/>
        </w:numPr>
        <w:tabs>
          <w:tab w:val="clear" w:pos="708"/>
          <w:tab w:val="left" w:pos="-2268" w:leader="none"/>
        </w:tabs>
        <w:spacing w:lineRule="auto" w:line="276" w:before="57" w:after="57"/>
        <w:ind w:left="0" w:right="0" w:hanging="0"/>
        <w:jc w:val="both"/>
        <w:rPr>
          <w:rFonts w:ascii="Verdana" w:hAnsi="Verdana" w:eastAsia="Times New Roman" w:cs="Verdana"/>
          <w:color w:val="auto"/>
          <w:sz w:val="12"/>
          <w:szCs w:val="12"/>
          <w:lang w:val="pt-BR" w:eastAsia="zh-CN" w:bidi="ar-SA"/>
        </w:rPr>
      </w:pPr>
      <w:r>
        <w:rPr>
          <w:rFonts w:cs="Verdana" w:ascii="Verdana" w:hAnsi="Verdana"/>
          <w:sz w:val="20"/>
          <w:szCs w:val="20"/>
        </w:rPr>
        <w:t>b) a pedido do fornecedor.</w:t>
      </w:r>
    </w:p>
    <w:p>
      <w:pPr>
        <w:pStyle w:val="Normal"/>
        <w:numPr>
          <w:ilvl w:val="0"/>
          <w:numId w:val="0"/>
        </w:numPr>
        <w:tabs>
          <w:tab w:val="clear" w:pos="708"/>
          <w:tab w:val="left" w:pos="-2268" w:leader="none"/>
        </w:tabs>
        <w:spacing w:lineRule="auto" w:line="276" w:before="57" w:after="57"/>
        <w:ind w:left="0" w:right="0" w:hanging="0"/>
        <w:jc w:val="both"/>
        <w:rPr>
          <w:rFonts w:ascii="Verdana" w:hAnsi="Verdana" w:eastAsia="Times New Roman" w:cs="Verdana"/>
          <w:color w:val="auto"/>
          <w:sz w:val="12"/>
          <w:szCs w:val="12"/>
          <w:lang w:val="pt-BR" w:eastAsia="zh-CN" w:bidi="ar-SA"/>
        </w:rPr>
      </w:pPr>
      <w:r>
        <w:rPr>
          <w:rFonts w:eastAsia="Times New Roman" w:cs="Verdana" w:ascii="Verdana" w:hAnsi="Verdana"/>
          <w:color w:val="auto"/>
          <w:sz w:val="12"/>
          <w:szCs w:val="12"/>
          <w:lang w:val="pt-BR" w:eastAsia="zh-CN" w:bidi="ar-SA"/>
        </w:rPr>
      </w:r>
    </w:p>
    <w:p>
      <w:pPr>
        <w:pStyle w:val="Normal"/>
        <w:numPr>
          <w:ilvl w:val="0"/>
          <w:numId w:val="0"/>
        </w:numPr>
        <w:tabs>
          <w:tab w:val="clear" w:pos="708"/>
          <w:tab w:val="left" w:pos="-2268" w:leader="none"/>
        </w:tabs>
        <w:spacing w:lineRule="auto" w:line="276" w:before="57" w:after="57"/>
        <w:ind w:left="0" w:right="0" w:hanging="0"/>
        <w:jc w:val="both"/>
        <w:rPr>
          <w:rFonts w:ascii="Verdana" w:hAnsi="Verdana" w:cs="Verdana"/>
          <w:b/>
          <w:sz w:val="20"/>
          <w:szCs w:val="20"/>
        </w:rPr>
      </w:pPr>
      <w:r>
        <w:rPr>
          <w:rFonts w:cs="Verdana" w:ascii="Verdana" w:hAnsi="Verdana"/>
          <w:b/>
          <w:sz w:val="20"/>
          <w:szCs w:val="20"/>
          <w:u w:val="single"/>
        </w:rPr>
        <w:t>CLÁUSULA DÉCIMA PRIMEIRA – DOS DOCUMENTOS APLICÁVEIS</w:t>
      </w:r>
    </w:p>
    <w:p>
      <w:pPr>
        <w:pStyle w:val="Normal"/>
        <w:tabs>
          <w:tab w:val="clear" w:pos="708"/>
          <w:tab w:val="left" w:pos="400" w:leader="none"/>
        </w:tabs>
        <w:spacing w:lineRule="auto" w:line="276" w:before="57" w:after="57"/>
        <w:ind w:left="0" w:right="0" w:hanging="0"/>
        <w:jc w:val="both"/>
        <w:rPr>
          <w:rFonts w:ascii="Verdana" w:hAnsi="Verdana" w:cs="Verdana"/>
          <w:b/>
          <w:sz w:val="20"/>
          <w:szCs w:val="20"/>
        </w:rPr>
      </w:pPr>
      <w:r>
        <w:rPr>
          <w:rFonts w:cs="Verdana" w:ascii="Verdana" w:hAnsi="Verdana"/>
          <w:b/>
          <w:sz w:val="20"/>
          <w:szCs w:val="20"/>
        </w:rPr>
        <w:t>11.1 –</w:t>
      </w:r>
      <w:r>
        <w:rPr>
          <w:rFonts w:cs="Verdana" w:ascii="Verdana" w:hAnsi="Verdana"/>
          <w:sz w:val="20"/>
          <w:szCs w:val="20"/>
        </w:rPr>
        <w:t xml:space="preserve"> Integram esta Ata, o Edital e seus anexos, a proposta de preço formulada pelo fornecedor, declarações e a documentação de habilitação, cujo teor as partes declaram ter conhecimento e aceitam, independentemente de sua anexação.</w:t>
      </w:r>
    </w:p>
    <w:p>
      <w:pPr>
        <w:pStyle w:val="Normal"/>
        <w:tabs>
          <w:tab w:val="clear" w:pos="708"/>
          <w:tab w:val="left" w:pos="400" w:leader="none"/>
        </w:tabs>
        <w:spacing w:lineRule="auto" w:line="276" w:before="57" w:after="57"/>
        <w:ind w:left="0" w:right="0" w:hanging="0"/>
        <w:jc w:val="both"/>
        <w:rPr>
          <w:rFonts w:ascii="Verdana" w:hAnsi="Verdana" w:cs="Verdana"/>
          <w:b/>
          <w:sz w:val="20"/>
          <w:szCs w:val="20"/>
        </w:rPr>
      </w:pPr>
      <w:r>
        <w:rPr>
          <w:rFonts w:cs="Verdana" w:ascii="Verdana" w:hAnsi="Verdana"/>
          <w:b/>
          <w:sz w:val="20"/>
          <w:szCs w:val="20"/>
        </w:rPr>
        <w:t xml:space="preserve">11.2 – </w:t>
      </w:r>
      <w:r>
        <w:rPr>
          <w:rFonts w:cs="Verdana" w:ascii="Verdana" w:hAnsi="Verdana"/>
          <w:sz w:val="20"/>
          <w:szCs w:val="20"/>
        </w:rPr>
        <w:t>Os documentos referidos no item anterior são considerados suficientes para, em complemento a esta Ata, definirem a sua extensão, e desta forma, regerem a execução adequada desta ata de registro de preço.</w:t>
      </w:r>
    </w:p>
    <w:p>
      <w:pPr>
        <w:pStyle w:val="Normal"/>
        <w:tabs>
          <w:tab w:val="clear" w:pos="708"/>
          <w:tab w:val="left" w:pos="400" w:leader="none"/>
        </w:tabs>
        <w:spacing w:lineRule="auto" w:line="276" w:before="57" w:after="57"/>
        <w:ind w:left="0" w:right="0" w:hanging="0"/>
        <w:jc w:val="both"/>
        <w:rPr>
          <w:rFonts w:ascii="Verdana" w:hAnsi="Verdana" w:eastAsia="Times New Roman" w:cs="Verdana"/>
          <w:color w:val="auto"/>
          <w:sz w:val="12"/>
          <w:szCs w:val="12"/>
          <w:lang w:val="pt-BR" w:eastAsia="zh-CN" w:bidi="ar-SA"/>
        </w:rPr>
      </w:pPr>
      <w:r>
        <w:rPr>
          <w:rFonts w:cs="Verdana" w:ascii="Verdana" w:hAnsi="Verdana"/>
          <w:b/>
          <w:sz w:val="20"/>
          <w:szCs w:val="20"/>
        </w:rPr>
        <w:t xml:space="preserve">11.3 – </w:t>
      </w:r>
      <w:r>
        <w:rPr>
          <w:rFonts w:cs="Verdana" w:ascii="Verdana" w:hAnsi="Verdana"/>
          <w:sz w:val="20"/>
          <w:szCs w:val="20"/>
        </w:rPr>
        <w:t>Os casos omissos serão resolvidos em observância as disposições constantes da Lei 8.666/93, Lei 10.520/02 e Decreto 441/2014 e demais Legislações Aplicáveis.</w:t>
      </w:r>
    </w:p>
    <w:p>
      <w:pPr>
        <w:pStyle w:val="Ttulo4"/>
        <w:spacing w:lineRule="auto" w:line="276" w:before="57" w:after="57"/>
        <w:ind w:left="0" w:right="0" w:hanging="0"/>
        <w:jc w:val="both"/>
        <w:rPr>
          <w:rFonts w:ascii="Verdana" w:hAnsi="Verdana" w:eastAsia="Times New Roman" w:cs="Verdana"/>
          <w:color w:val="auto"/>
          <w:sz w:val="12"/>
          <w:szCs w:val="12"/>
          <w:lang w:val="pt-BR" w:eastAsia="zh-CN" w:bidi="ar-SA"/>
        </w:rPr>
      </w:pPr>
      <w:r>
        <w:rPr>
          <w:rFonts w:eastAsia="Times New Roman" w:cs="Verdana" w:ascii="Verdana" w:hAnsi="Verdana"/>
          <w:color w:val="auto"/>
          <w:sz w:val="12"/>
          <w:szCs w:val="12"/>
          <w:lang w:val="pt-BR" w:eastAsia="zh-CN" w:bidi="ar-SA"/>
        </w:rPr>
      </w:r>
    </w:p>
    <w:p>
      <w:pPr>
        <w:pStyle w:val="Ttulo4"/>
        <w:spacing w:lineRule="auto" w:line="276" w:before="57" w:after="57"/>
        <w:ind w:left="0" w:right="0" w:hanging="0"/>
        <w:jc w:val="both"/>
        <w:rPr>
          <w:rFonts w:ascii="Verdana" w:hAnsi="Verdana" w:cs="Verdana"/>
          <w:b/>
          <w:sz w:val="20"/>
          <w:szCs w:val="20"/>
        </w:rPr>
      </w:pPr>
      <w:r>
        <w:rPr>
          <w:rFonts w:cs="Verdana" w:ascii="Verdana" w:hAnsi="Verdana"/>
          <w:sz w:val="20"/>
          <w:szCs w:val="20"/>
          <w:u w:val="single"/>
        </w:rPr>
        <w:t>CLÁUSULA DÉCIMA SEGUNDA – DO ADITAMENTO</w:t>
      </w:r>
    </w:p>
    <w:p>
      <w:pPr>
        <w:pStyle w:val="Normal"/>
        <w:spacing w:lineRule="auto" w:line="276" w:before="57" w:after="57"/>
        <w:ind w:left="0" w:right="0" w:hanging="0"/>
        <w:jc w:val="both"/>
        <w:rPr>
          <w:rFonts w:ascii="Verdana" w:hAnsi="Verdana" w:cs="Verdana"/>
          <w:b/>
          <w:sz w:val="12"/>
          <w:szCs w:val="12"/>
          <w:u w:val="single"/>
        </w:rPr>
      </w:pPr>
      <w:r>
        <w:rPr>
          <w:rFonts w:cs="Verdana" w:ascii="Verdana" w:hAnsi="Verdana"/>
          <w:b/>
          <w:sz w:val="20"/>
          <w:szCs w:val="20"/>
        </w:rPr>
        <w:t>12.1 –</w:t>
      </w:r>
      <w:r>
        <w:rPr>
          <w:rFonts w:cs="Verdana" w:ascii="Verdana" w:hAnsi="Verdana"/>
          <w:sz w:val="20"/>
          <w:szCs w:val="20"/>
        </w:rPr>
        <w:t xml:space="preserve"> A partir da assinatura desta Ata, a esta passam a ser aplicáveis todos os termos de aditamento que vierem a ser celebrados e que importem em alteração de qualquer condição descrita na presente Ata, desde que sejam assinados por representantes das partes, observados os limites e as formalidades legais.</w:t>
      </w:r>
    </w:p>
    <w:p>
      <w:pPr>
        <w:pStyle w:val="Normal"/>
        <w:numPr>
          <w:ilvl w:val="0"/>
          <w:numId w:val="0"/>
        </w:numPr>
        <w:tabs>
          <w:tab w:val="clear" w:pos="708"/>
          <w:tab w:val="left" w:pos="-2268" w:leader="none"/>
        </w:tabs>
        <w:spacing w:lineRule="auto" w:line="276" w:before="57" w:after="57"/>
        <w:ind w:left="0" w:right="0" w:hanging="0"/>
        <w:jc w:val="both"/>
        <w:rPr>
          <w:rFonts w:ascii="Verdana" w:hAnsi="Verdana" w:cs="Verdana"/>
          <w:b/>
          <w:sz w:val="12"/>
          <w:szCs w:val="12"/>
          <w:u w:val="single"/>
        </w:rPr>
      </w:pPr>
      <w:r>
        <w:rPr>
          <w:rFonts w:cs="Verdana" w:ascii="Verdana" w:hAnsi="Verdana"/>
          <w:b/>
          <w:sz w:val="12"/>
          <w:szCs w:val="12"/>
          <w:u w:val="single"/>
        </w:rPr>
      </w:r>
    </w:p>
    <w:p>
      <w:pPr>
        <w:pStyle w:val="Normal"/>
        <w:numPr>
          <w:ilvl w:val="0"/>
          <w:numId w:val="0"/>
        </w:numPr>
        <w:tabs>
          <w:tab w:val="clear" w:pos="708"/>
          <w:tab w:val="left" w:pos="-2268" w:leader="none"/>
        </w:tabs>
        <w:spacing w:lineRule="auto" w:line="276" w:before="57" w:after="57"/>
        <w:ind w:left="0" w:right="0" w:hanging="0"/>
        <w:jc w:val="both"/>
        <w:rPr>
          <w:rFonts w:ascii="Verdana" w:hAnsi="Verdana" w:cs="Verdana"/>
          <w:b/>
          <w:sz w:val="20"/>
          <w:szCs w:val="20"/>
        </w:rPr>
      </w:pPr>
      <w:r>
        <w:rPr>
          <w:rFonts w:cs="Verdana" w:ascii="Verdana" w:hAnsi="Verdana"/>
          <w:b/>
          <w:sz w:val="20"/>
          <w:szCs w:val="20"/>
          <w:u w:val="single"/>
        </w:rPr>
        <w:t>CLÁUSULA DÉCIMA TERCEIRA – FORO</w:t>
      </w:r>
    </w:p>
    <w:p>
      <w:pPr>
        <w:pStyle w:val="Normal"/>
        <w:tabs>
          <w:tab w:val="clear" w:pos="708"/>
          <w:tab w:val="left" w:pos="-2268" w:leader="none"/>
        </w:tabs>
        <w:spacing w:lineRule="auto" w:line="276" w:before="57" w:after="57"/>
        <w:ind w:left="0" w:right="0" w:hanging="0"/>
        <w:jc w:val="both"/>
        <w:rPr>
          <w:rFonts w:ascii="Verdana" w:hAnsi="Verdana" w:cs="Verdana"/>
          <w:sz w:val="20"/>
          <w:szCs w:val="20"/>
        </w:rPr>
      </w:pPr>
      <w:r>
        <w:rPr>
          <w:rFonts w:cs="Verdana" w:ascii="Verdana" w:hAnsi="Verdana"/>
          <w:b/>
          <w:sz w:val="20"/>
          <w:szCs w:val="20"/>
        </w:rPr>
        <w:t>13.1 – ELEIÇÃO</w:t>
      </w:r>
      <w:r>
        <w:rPr>
          <w:rFonts w:cs="Verdana" w:ascii="Verdana" w:hAnsi="Verdana"/>
          <w:sz w:val="20"/>
          <w:szCs w:val="20"/>
        </w:rPr>
        <w:t xml:space="preserve"> – Para dirimir todas as questões oriundas do presente instrumento, fica eleito o FORO da Comarca de SÃO GABRIEL DA PALHA _ ES.</w:t>
        <w:tab/>
      </w:r>
    </w:p>
    <w:p>
      <w:pPr>
        <w:pStyle w:val="Corpodotexto"/>
        <w:tabs>
          <w:tab w:val="clear" w:pos="708"/>
          <w:tab w:val="left" w:pos="0" w:leader="none"/>
          <w:tab w:val="left" w:pos="2268" w:leader="none"/>
        </w:tabs>
        <w:spacing w:lineRule="auto" w:line="276" w:before="57" w:after="57"/>
        <w:ind w:left="0" w:right="0" w:hanging="0"/>
        <w:rPr>
          <w:rFonts w:ascii="Verdana" w:hAnsi="Verdana" w:cs="Verdana"/>
          <w:sz w:val="20"/>
          <w:szCs w:val="20"/>
        </w:rPr>
      </w:pPr>
      <w:r>
        <w:rPr>
          <w:rFonts w:cs="Verdana" w:ascii="Verdana" w:hAnsi="Verdana"/>
          <w:sz w:val="20"/>
          <w:szCs w:val="20"/>
        </w:rPr>
        <w:tab/>
        <w:t xml:space="preserve">E, por estarem justos, combinados, assinam o presente instrumento, após lido e achado conforme, na presença das testemunhas abaixo assinadas. </w:t>
      </w:r>
    </w:p>
    <w:p>
      <w:pPr>
        <w:pStyle w:val="Normal"/>
        <w:tabs>
          <w:tab w:val="clear" w:pos="708"/>
          <w:tab w:val="left" w:pos="-2268" w:leader="none"/>
        </w:tabs>
        <w:spacing w:lineRule="auto" w:line="276" w:before="57" w:after="57"/>
        <w:ind w:left="0" w:right="0" w:hanging="0"/>
        <w:jc w:val="right"/>
        <w:rPr>
          <w:rFonts w:ascii="Verdana" w:hAnsi="Verdana" w:cs="Verdana"/>
          <w:sz w:val="20"/>
          <w:szCs w:val="20"/>
        </w:rPr>
      </w:pPr>
      <w:r>
        <w:rPr>
          <w:rFonts w:cs="Verdana" w:ascii="Verdana" w:hAnsi="Verdana"/>
          <w:sz w:val="20"/>
          <w:szCs w:val="20"/>
        </w:rPr>
      </w:r>
    </w:p>
    <w:p>
      <w:pPr>
        <w:pStyle w:val="Normal"/>
        <w:tabs>
          <w:tab w:val="clear" w:pos="708"/>
          <w:tab w:val="left" w:pos="-2268" w:leader="none"/>
        </w:tabs>
        <w:spacing w:lineRule="auto" w:line="276" w:before="57" w:after="57"/>
        <w:ind w:left="0" w:right="0" w:hanging="0"/>
        <w:jc w:val="right"/>
        <w:rPr>
          <w:rFonts w:ascii="Verdana" w:hAnsi="Verdana" w:cs="Verdana"/>
          <w:b/>
          <w:sz w:val="20"/>
          <w:szCs w:val="20"/>
        </w:rPr>
      </w:pPr>
      <w:r>
        <w:rPr>
          <w:rFonts w:cs="Verdana" w:ascii="Verdana" w:hAnsi="Verdana"/>
          <w:sz w:val="20"/>
          <w:szCs w:val="20"/>
        </w:rPr>
        <w:t>São Gabriel da Palha – ES, em _____ de __________ de 2023.</w:t>
      </w:r>
    </w:p>
    <w:p>
      <w:pPr>
        <w:pStyle w:val="Normal"/>
        <w:spacing w:lineRule="auto" w:line="276" w:before="57" w:after="57"/>
        <w:ind w:left="0" w:right="0" w:hanging="0"/>
        <w:jc w:val="center"/>
        <w:rPr>
          <w:rFonts w:ascii="Verdana" w:hAnsi="Verdana" w:cs="Verdana"/>
          <w:b/>
          <w:sz w:val="20"/>
          <w:szCs w:val="20"/>
        </w:rPr>
      </w:pPr>
      <w:r>
        <w:rPr>
          <w:rFonts w:cs="Verdana" w:ascii="Verdana" w:hAnsi="Verdana"/>
          <w:b/>
          <w:sz w:val="20"/>
          <w:szCs w:val="20"/>
        </w:rPr>
      </w:r>
    </w:p>
    <w:p>
      <w:pPr>
        <w:pStyle w:val="Normal"/>
        <w:spacing w:lineRule="auto" w:line="276" w:before="57" w:after="57"/>
        <w:ind w:left="0" w:right="0" w:hanging="0"/>
        <w:jc w:val="center"/>
        <w:rPr>
          <w:rFonts w:ascii="Verdana" w:hAnsi="Verdana" w:cs="Verdana"/>
          <w:b/>
          <w:sz w:val="20"/>
          <w:szCs w:val="20"/>
        </w:rPr>
      </w:pPr>
      <w:r>
        <w:rPr>
          <w:rFonts w:cs="Verdana" w:ascii="Verdana" w:hAnsi="Verdana"/>
          <w:b/>
          <w:sz w:val="20"/>
          <w:szCs w:val="20"/>
        </w:rPr>
        <w:t>MUNICÍPIO DE SÃO GABRIEL DA PALHA</w:t>
      </w:r>
    </w:p>
    <w:p>
      <w:pPr>
        <w:pStyle w:val="Normal"/>
        <w:spacing w:lineRule="auto" w:line="276" w:before="57" w:after="57"/>
        <w:ind w:left="0" w:right="0" w:hanging="0"/>
        <w:jc w:val="center"/>
        <w:rPr>
          <w:rFonts w:ascii="Verdana" w:hAnsi="Verdana" w:cs="Verdana"/>
          <w:b/>
          <w:sz w:val="20"/>
          <w:szCs w:val="20"/>
        </w:rPr>
      </w:pPr>
      <w:r>
        <w:rPr>
          <w:rFonts w:cs="Verdana" w:ascii="Verdana" w:hAnsi="Verdana"/>
          <w:b/>
          <w:sz w:val="20"/>
          <w:szCs w:val="20"/>
        </w:rPr>
      </w:r>
    </w:p>
    <w:p>
      <w:pPr>
        <w:pStyle w:val="Normal"/>
        <w:spacing w:lineRule="auto" w:line="276" w:before="57" w:after="57"/>
        <w:ind w:left="0" w:right="0" w:hanging="0"/>
        <w:jc w:val="center"/>
        <w:rPr>
          <w:rFonts w:ascii="Verdana" w:hAnsi="Verdana" w:cs="Verdana"/>
          <w:sz w:val="20"/>
          <w:szCs w:val="20"/>
        </w:rPr>
      </w:pPr>
      <w:r>
        <w:rPr>
          <w:rFonts w:cs="Verdana" w:ascii="Verdana" w:hAnsi="Verdana"/>
          <w:b/>
          <w:sz w:val="20"/>
          <w:szCs w:val="20"/>
        </w:rPr>
        <w:t>____EMPRESA____</w:t>
      </w:r>
    </w:p>
    <w:p>
      <w:pPr>
        <w:pStyle w:val="Normal"/>
        <w:spacing w:lineRule="auto" w:line="276" w:before="57" w:after="57"/>
        <w:ind w:left="0" w:right="0" w:hanging="0"/>
        <w:jc w:val="center"/>
        <w:rPr>
          <w:rFonts w:ascii="Verdana" w:hAnsi="Verdana" w:cs="Verdana"/>
          <w:sz w:val="20"/>
          <w:szCs w:val="20"/>
        </w:rPr>
      </w:pPr>
      <w:r>
        <w:rPr>
          <w:rFonts w:cs="Verdana" w:ascii="Verdana" w:hAnsi="Verdana"/>
          <w:sz w:val="20"/>
          <w:szCs w:val="20"/>
        </w:rPr>
        <w:t>____Sócio Administrador____</w:t>
      </w:r>
    </w:p>
    <w:p>
      <w:pPr>
        <w:pStyle w:val="Normal"/>
        <w:spacing w:lineRule="auto" w:line="276" w:before="57" w:after="57"/>
        <w:ind w:left="0" w:right="0" w:hanging="0"/>
        <w:jc w:val="center"/>
        <w:rPr>
          <w:rFonts w:ascii="Verdana" w:hAnsi="Verdana" w:cs="Verdana"/>
          <w:b/>
          <w:sz w:val="20"/>
          <w:szCs w:val="20"/>
        </w:rPr>
      </w:pPr>
      <w:r>
        <w:rPr>
          <w:rFonts w:cs="Verdana" w:ascii="Verdana" w:hAnsi="Verdana"/>
          <w:sz w:val="20"/>
          <w:szCs w:val="20"/>
        </w:rPr>
        <w:t>CPF Nº ________________</w:t>
      </w:r>
    </w:p>
    <w:p>
      <w:pPr>
        <w:pStyle w:val="Normal"/>
        <w:spacing w:lineRule="auto" w:line="276" w:before="57" w:after="57"/>
        <w:ind w:left="0" w:right="0" w:hanging="0"/>
        <w:jc w:val="center"/>
        <w:rPr>
          <w:rFonts w:ascii="Verdana" w:hAnsi="Verdana" w:cs="Verdana"/>
          <w:b/>
          <w:sz w:val="20"/>
          <w:szCs w:val="20"/>
        </w:rPr>
      </w:pPr>
      <w:r>
        <w:rPr>
          <w:rFonts w:cs="Verdana" w:ascii="Verdana" w:hAnsi="Verdana"/>
          <w:b/>
          <w:sz w:val="20"/>
          <w:szCs w:val="20"/>
        </w:rPr>
      </w:r>
    </w:p>
    <w:p>
      <w:pPr>
        <w:pStyle w:val="Normal"/>
        <w:spacing w:lineRule="auto" w:line="276" w:before="57" w:after="57"/>
        <w:ind w:left="0" w:right="0" w:hanging="0"/>
        <w:jc w:val="center"/>
        <w:rPr>
          <w:rFonts w:ascii="Verdana" w:hAnsi="Verdana" w:cs="Verdana"/>
          <w:b/>
          <w:sz w:val="20"/>
          <w:szCs w:val="20"/>
        </w:rPr>
      </w:pPr>
      <w:r>
        <w:rPr>
          <w:rFonts w:cs="Verdana" w:ascii="Verdana" w:hAnsi="Verdana"/>
          <w:b/>
          <w:sz w:val="20"/>
          <w:szCs w:val="20"/>
        </w:rPr>
      </w:r>
    </w:p>
    <w:tbl>
      <w:tblPr>
        <w:tblW w:w="9169" w:type="dxa"/>
        <w:jc w:val="left"/>
        <w:tblInd w:w="0" w:type="dxa"/>
        <w:tblLayout w:type="fixed"/>
        <w:tblCellMar>
          <w:top w:w="0" w:type="dxa"/>
          <w:left w:w="70" w:type="dxa"/>
          <w:bottom w:w="0" w:type="dxa"/>
          <w:right w:w="70" w:type="dxa"/>
        </w:tblCellMar>
      </w:tblPr>
      <w:tblGrid>
        <w:gridCol w:w="4030"/>
        <w:gridCol w:w="720"/>
        <w:gridCol w:w="4419"/>
      </w:tblGrid>
      <w:tr>
        <w:trPr>
          <w:cantSplit w:val="true"/>
        </w:trPr>
        <w:tc>
          <w:tcPr>
            <w:tcW w:w="4030" w:type="dxa"/>
            <w:tcBorders/>
          </w:tcPr>
          <w:p>
            <w:pPr>
              <w:pStyle w:val="Normal"/>
              <w:spacing w:lineRule="auto" w:line="276" w:before="57" w:after="57"/>
              <w:ind w:left="0" w:right="0" w:hanging="0"/>
              <w:rPr>
                <w:rFonts w:ascii="Verdana" w:hAnsi="Verdana" w:cs="Verdana"/>
                <w:sz w:val="20"/>
                <w:szCs w:val="20"/>
              </w:rPr>
            </w:pPr>
            <w:r>
              <w:rPr>
                <w:rFonts w:cs="Verdana" w:ascii="Verdana" w:hAnsi="Verdana"/>
                <w:sz w:val="20"/>
                <w:szCs w:val="20"/>
              </w:rPr>
              <w:t>Testemunhas:</w:t>
            </w:r>
          </w:p>
        </w:tc>
        <w:tc>
          <w:tcPr>
            <w:tcW w:w="720" w:type="dxa"/>
            <w:tcBorders/>
          </w:tcPr>
          <w:p>
            <w:pPr>
              <w:pStyle w:val="Normal"/>
              <w:snapToGrid w:val="false"/>
              <w:spacing w:lineRule="auto" w:line="276" w:before="57" w:after="57"/>
              <w:ind w:left="0" w:right="0" w:hanging="0"/>
              <w:rPr>
                <w:rFonts w:ascii="Verdana" w:hAnsi="Verdana" w:cs="Verdana"/>
                <w:sz w:val="20"/>
                <w:szCs w:val="20"/>
              </w:rPr>
            </w:pPr>
            <w:r>
              <w:rPr>
                <w:rFonts w:cs="Verdana" w:ascii="Verdana" w:hAnsi="Verdana"/>
                <w:sz w:val="20"/>
                <w:szCs w:val="20"/>
              </w:rPr>
            </w:r>
          </w:p>
        </w:tc>
        <w:tc>
          <w:tcPr>
            <w:tcW w:w="4419" w:type="dxa"/>
            <w:tcBorders/>
          </w:tcPr>
          <w:p>
            <w:pPr>
              <w:pStyle w:val="Normal"/>
              <w:spacing w:lineRule="auto" w:line="276" w:before="57" w:after="57"/>
              <w:ind w:left="0" w:right="0" w:hanging="0"/>
              <w:rPr>
                <w:rFonts w:ascii="Verdana" w:hAnsi="Verdana" w:cs="Verdana"/>
                <w:sz w:val="20"/>
                <w:szCs w:val="20"/>
              </w:rPr>
            </w:pPr>
            <w:r>
              <w:rPr>
                <w:rFonts w:cs="Verdana" w:ascii="Verdana" w:hAnsi="Verdana"/>
                <w:sz w:val="20"/>
                <w:szCs w:val="20"/>
              </w:rPr>
              <w:t>CPF:</w:t>
            </w:r>
          </w:p>
        </w:tc>
      </w:tr>
    </w:tbl>
    <w:p>
      <w:pPr>
        <w:pStyle w:val="Normal"/>
        <w:spacing w:lineRule="auto" w:line="276" w:before="57" w:after="57"/>
        <w:ind w:left="0" w:right="0" w:hanging="0"/>
        <w:rPr>
          <w:rFonts w:ascii="Verdana" w:hAnsi="Verdana" w:cs="Verdana"/>
          <w:sz w:val="20"/>
          <w:szCs w:val="20"/>
        </w:rPr>
      </w:pPr>
      <w:r>
        <w:rPr>
          <w:rFonts w:cs="Verdana" w:ascii="Verdana" w:hAnsi="Verdana"/>
          <w:sz w:val="20"/>
          <w:szCs w:val="20"/>
        </w:rPr>
      </w:r>
    </w:p>
    <w:sectPr>
      <w:headerReference w:type="default" r:id="rId2"/>
      <w:footerReference w:type="default" r:id="rId3"/>
      <w:type w:val="nextPage"/>
      <w:pgSz w:w="11906" w:h="16838"/>
      <w:pgMar w:left="1500" w:right="1134" w:gutter="0" w:header="285" w:top="341" w:footer="404" w:bottom="460"/>
      <w:pgNumType w:start="9"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Verdana">
    <w:charset w:val="01"/>
    <w:family w:val="swiss"/>
    <w:pitch w:val="variable"/>
  </w:font>
  <w:font w:name="Courier New">
    <w:charset w:val="00"/>
    <w:family w:val="modern"/>
    <w:pitch w:val="default"/>
  </w:font>
  <w:font w:name="Wingdings">
    <w:charset w:val="02"/>
    <w:family w:val="auto"/>
    <w:pitch w:val="variable"/>
  </w:font>
  <w:font w:name="Calibri">
    <w:charset w:val="00"/>
    <w:family w:val="swiss"/>
    <w:pitch w:val="variable"/>
  </w:font>
  <w:font w:name="Segoe UI">
    <w:charset w:val="00"/>
    <w:family w:val="swiss"/>
    <w:pitch w:val="variable"/>
  </w:font>
  <w:font w:name="Liberation Sans">
    <w:altName w:val="Arial"/>
    <w:charset w:val="00"/>
    <w:family w:val="swiss"/>
    <w:pitch w:val="variable"/>
  </w:font>
  <w:font w:name="Verdana">
    <w:charset w:val="00"/>
    <w:family w:val="roman"/>
    <w:pitch w:val="variable"/>
  </w:font>
  <w:font w:name="Verdana">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center"/>
      <w:rPr>
        <w:rFonts w:ascii="Verdana" w:hAnsi="Verdana" w:cs="Verdana"/>
        <w:b/>
        <w:bCs/>
        <w:sz w:val="16"/>
        <w:szCs w:val="16"/>
      </w:rPr>
    </w:pPr>
    <w:r>
      <w:rPr>
        <w:rFonts w:cs="Verdana" w:ascii="Verdana" w:hAnsi="Verdana"/>
        <w:b/>
        <w:bCs/>
        <w:sz w:val="16"/>
        <w:szCs w:val="16"/>
      </w:rPr>
      <w:t>Praça Vicente Glazar nº 159, Centro, São Gabriel da Palha, ES. CEP. 29.780-000.</w:t>
    </w:r>
  </w:p>
  <w:p>
    <w:pPr>
      <w:pStyle w:val="Cabealho"/>
      <w:ind w:left="0" w:right="360" w:hanging="0"/>
      <w:jc w:val="center"/>
      <w:rPr>
        <w:rFonts w:ascii="Verdana" w:hAnsi="Verdana" w:cs="Verdana"/>
        <w:b/>
        <w:bCs/>
        <w:sz w:val="16"/>
        <w:szCs w:val="16"/>
      </w:rPr>
    </w:pPr>
    <w:r>
      <w:rPr>
        <w:rFonts w:cs="Verdana" w:ascii="Verdana" w:hAnsi="Verdana"/>
        <w:b/>
        <w:bCs/>
        <w:sz w:val="16"/>
        <w:szCs w:val="16"/>
      </w:rPr>
      <w:t>Telefax 0(xx) 27 3727-1366.</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Verdana" w:hAnsi="Verdana" w:cs="Verdana"/>
        <w:sz w:val="26"/>
        <w:szCs w:val="26"/>
        <w:lang w:val="pt-BR" w:eastAsia="pt-BR"/>
      </w:rPr>
    </w:pPr>
    <w:r>
      <w:rPr>
        <w:rFonts w:cs="Verdana" w:ascii="Verdana" w:hAnsi="Verdana"/>
        <w:sz w:val="26"/>
        <w:szCs w:val="26"/>
        <w:lang w:val="pt-BR" w:eastAsia="pt-BR"/>
      </w:rPr>
      <w:drawing>
        <wp:anchor behindDoc="0" distT="0" distB="0" distL="114935" distR="114935" simplePos="0" locked="0" layoutInCell="0" allowOverlap="1" relativeHeight="6">
          <wp:simplePos x="0" y="0"/>
          <wp:positionH relativeFrom="column">
            <wp:posOffset>-80010</wp:posOffset>
          </wp:positionH>
          <wp:positionV relativeFrom="paragraph">
            <wp:posOffset>57150</wp:posOffset>
          </wp:positionV>
          <wp:extent cx="621030" cy="523875"/>
          <wp:effectExtent l="0" t="0" r="0" b="0"/>
          <wp:wrapSquare wrapText="bothSides"/>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rcRect l="-1137" t="-1266" r="-1137" b="-1266"/>
                  <a:stretch>
                    <a:fillRect/>
                  </a:stretch>
                </pic:blipFill>
                <pic:spPr bwMode="auto">
                  <a:xfrm>
                    <a:off x="0" y="0"/>
                    <a:ext cx="621030" cy="523875"/>
                  </a:xfrm>
                  <a:prstGeom prst="rect">
                    <a:avLst/>
                  </a:prstGeom>
                </pic:spPr>
              </pic:pic>
            </a:graphicData>
          </a:graphic>
        </wp:anchor>
      </w:drawing>
    </w:r>
  </w:p>
  <w:p>
    <w:pPr>
      <w:pStyle w:val="Cabealho"/>
      <w:rPr>
        <w:rFonts w:ascii="Verdana" w:hAnsi="Verdana" w:cs="Verdana"/>
        <w:b/>
        <w:sz w:val="16"/>
        <w:szCs w:val="16"/>
      </w:rPr>
    </w:pPr>
    <w:r>
      <w:rPr>
        <w:rFonts w:eastAsia="Verdana" w:cs="Verdana" w:ascii="Verdana" w:hAnsi="Verdana"/>
        <w:sz w:val="26"/>
        <w:szCs w:val="26"/>
      </w:rPr>
      <w:t xml:space="preserve">          </w:t>
    </w:r>
    <w:r>
      <w:rPr>
        <w:rFonts w:cs="Verdana" w:ascii="Verdana" w:hAnsi="Verdana"/>
        <w:sz w:val="26"/>
        <w:szCs w:val="26"/>
      </w:rPr>
      <w:t>PREFEITURA MUNICIPAL DE SÃO GABRIEL DA PALHA</w:t>
    </w:r>
  </w:p>
  <w:p>
    <w:pPr>
      <w:pStyle w:val="Cabealho"/>
      <w:tabs>
        <w:tab w:val="clear" w:pos="708"/>
        <w:tab w:val="left" w:pos="3980" w:leader="none"/>
      </w:tabs>
      <w:jc w:val="center"/>
      <w:rPr>
        <w:rFonts w:ascii="Verdana" w:hAnsi="Verdana" w:cs="Verdana"/>
        <w:b/>
        <w:sz w:val="16"/>
        <w:szCs w:val="16"/>
      </w:rPr>
    </w:pPr>
    <w:r>
      <w:rPr>
        <w:rFonts w:cs="Verdana" w:ascii="Verdana" w:hAnsi="Verdana"/>
        <w:b/>
        <w:sz w:val="16"/>
        <w:szCs w:val="16"/>
      </w:rPr>
      <w:t>ESTADO DO ESPÍRITO SANTO</w:t>
    </w:r>
  </w:p>
  <w:p>
    <w:pPr>
      <w:pStyle w:val="Cabealho"/>
      <w:tabs>
        <w:tab w:val="clear" w:pos="708"/>
        <w:tab w:val="left" w:pos="3980" w:leader="none"/>
      </w:tabs>
      <w:rPr>
        <w:rFonts w:ascii="Verdana" w:hAnsi="Verdana" w:cs="Verdana"/>
        <w:b/>
        <w:sz w:val="16"/>
        <w:szCs w:val="16"/>
      </w:rPr>
    </w:pPr>
    <w:r>
      <w:rPr>
        <w:rFonts w:cs="Verdana" w:ascii="Verdana" w:hAnsi="Verdana"/>
        <w:b/>
        <w:sz w:val="16"/>
        <w:szCs w:val="16"/>
      </w:rPr>
    </w:r>
  </w:p>
  <w:p>
    <w:pPr>
      <w:pStyle w:val="Cabealho"/>
      <w:tabs>
        <w:tab w:val="clear" w:pos="708"/>
        <w:tab w:val="right" w:pos="5245" w:leader="none"/>
      </w:tabs>
      <w:jc w:val="center"/>
      <w:rPr>
        <w:rFonts w:ascii="Verdana" w:hAnsi="Verdana" w:cs="Verdana"/>
        <w:b/>
        <w:sz w:val="16"/>
        <w:szCs w:val="16"/>
      </w:rPr>
    </w:pPr>
    <w:r>
      <w:rPr>
        <w:rFonts w:cs="Verdana" w:ascii="Verdana" w:hAnsi="Verdana"/>
        <w:b/>
        <w:sz w:val="16"/>
        <w:szCs w:val="16"/>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Ttulo1"/>
      <w:numFmt w:val="none"/>
      <w:suff w:val="nothing"/>
      <w:lvlText w:val=""/>
      <w:lvlJc w:val="left"/>
      <w:pPr>
        <w:tabs>
          <w:tab w:val="num" w:pos="0"/>
        </w:tabs>
        <w:ind w:left="0" w:hanging="0"/>
      </w:pPr>
    </w:lvl>
    <w:lvl w:ilvl="1">
      <w:start w:val="1"/>
      <w:pStyle w:val="Ttulo2"/>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pStyle w:val="Ttulo4"/>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5.%1 - "/>
      <w:lvlJc w:val="left"/>
      <w:pPr>
        <w:tabs>
          <w:tab w:val="num" w:pos="0"/>
        </w:tabs>
        <w:ind w:left="720" w:hanging="360"/>
      </w:pPr>
      <w:rPr>
        <w:sz w:val="20"/>
        <w:i w:val="false"/>
        <w:b/>
        <w:szCs w:val="20"/>
        <w:iCs w:val="false"/>
        <w:bCs/>
        <w:rFonts w:ascii="Verdana" w:hAnsi="Verdana" w:cs="Verdana"/>
      </w:rPr>
    </w:lvl>
  </w:abstractNum>
  <w:abstractNum w:abstractNumId="3">
    <w:lvl w:ilvl="0">
      <w:start w:val="1"/>
      <w:numFmt w:val="decimal"/>
      <w:lvlText w:val="7.%1"/>
      <w:lvlJc w:val="left"/>
      <w:pPr>
        <w:tabs>
          <w:tab w:val="num" w:pos="0"/>
        </w:tabs>
        <w:ind w:left="720" w:hanging="360"/>
      </w:pPr>
      <w:rPr>
        <w:sz w:val="20"/>
        <w:b/>
        <w:szCs w:val="20"/>
        <w:iCs/>
        <w:bCs/>
        <w:rFonts w:ascii="Verdana" w:hAnsi="Verdana" w:cs="Arial"/>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sz w:val="24"/>
        <w:szCs w:val="24"/>
        <w:lang w:val="pt-BR" w:eastAsia="zh-CN" w:bidi="hi-IN"/>
      </w:rPr>
    </w:rPrDefault>
    <w:pPrDefault>
      <w:pPr>
        <w:suppressAutoHyphens w:val="true"/>
      </w:pPr>
    </w:pPrDefault>
  </w:docDefaults>
  <w:style w:type="paragraph" w:styleId="Normal">
    <w:name w:val="Normal"/>
    <w:qFormat/>
    <w:pPr>
      <w:widowControl/>
      <w:suppressAutoHyphens w:val="true"/>
      <w:bidi w:val="0"/>
    </w:pPr>
    <w:rPr>
      <w:rFonts w:ascii="Times New Roman" w:hAnsi="Times New Roman" w:eastAsia="Times New Roman" w:cs="Times New Roman"/>
      <w:color w:val="auto"/>
      <w:sz w:val="24"/>
      <w:szCs w:val="24"/>
      <w:lang w:val="pt-BR" w:eastAsia="zh-CN" w:bidi="ar-SA"/>
    </w:rPr>
  </w:style>
  <w:style w:type="paragraph" w:styleId="Ttulo1">
    <w:name w:val="Heading 1"/>
    <w:basedOn w:val="Normal"/>
    <w:next w:val="Normal"/>
    <w:qFormat/>
    <w:pPr>
      <w:keepNext w:val="true"/>
      <w:numPr>
        <w:ilvl w:val="0"/>
        <w:numId w:val="1"/>
      </w:numPr>
      <w:spacing w:lineRule="atLeast" w:line="240"/>
      <w:jc w:val="both"/>
      <w:outlineLvl w:val="0"/>
    </w:pPr>
    <w:rPr>
      <w:b/>
      <w:sz w:val="20"/>
      <w:szCs w:val="20"/>
      <w:lang w:val="pt-BR"/>
    </w:rPr>
  </w:style>
  <w:style w:type="paragraph" w:styleId="Ttulo2">
    <w:name w:val="Heading 2"/>
    <w:basedOn w:val="Normal"/>
    <w:next w:val="Normal"/>
    <w:qFormat/>
    <w:pPr>
      <w:keepNext w:val="true"/>
      <w:numPr>
        <w:ilvl w:val="1"/>
        <w:numId w:val="1"/>
      </w:numPr>
      <w:spacing w:before="240" w:after="60"/>
      <w:outlineLvl w:val="1"/>
    </w:pPr>
    <w:rPr>
      <w:rFonts w:ascii="Cambria" w:hAnsi="Cambria" w:eastAsia="Times New Roman" w:cs="Times New Roman"/>
      <w:b/>
      <w:bCs/>
      <w:i/>
      <w:iCs/>
      <w:sz w:val="28"/>
      <w:szCs w:val="28"/>
    </w:rPr>
  </w:style>
  <w:style w:type="paragraph" w:styleId="Ttulo4">
    <w:name w:val="Heading 4"/>
    <w:basedOn w:val="Normal"/>
    <w:next w:val="Normal"/>
    <w:qFormat/>
    <w:pPr>
      <w:keepNext w:val="true"/>
      <w:numPr>
        <w:ilvl w:val="3"/>
        <w:numId w:val="1"/>
      </w:numPr>
      <w:spacing w:before="240" w:after="60"/>
      <w:outlineLvl w:val="3"/>
    </w:pPr>
    <w:rPr>
      <w:b/>
      <w:bCs/>
      <w:sz w:val="28"/>
      <w:szCs w:val="28"/>
    </w:rPr>
  </w:style>
  <w:style w:type="character" w:styleId="WW8Num2z0">
    <w:name w:val="WW8Num2z0"/>
    <w:qFormat/>
    <w:rPr>
      <w:rFonts w:ascii="Verdana" w:hAnsi="Verdana" w:cs="Verdana"/>
      <w:b/>
      <w:bCs/>
      <w:i w:val="false"/>
      <w:iCs w:val="false"/>
      <w:sz w:val="20"/>
      <w:szCs w:val="20"/>
    </w:rPr>
  </w:style>
  <w:style w:type="character" w:styleId="WW8Num3z0">
    <w:name w:val="WW8Num3z0"/>
    <w:qFormat/>
    <w:rPr>
      <w:rFonts w:ascii="Verdana" w:hAnsi="Verdana" w:cs="Arial"/>
      <w:b/>
      <w:bCs/>
      <w:iCs/>
      <w:sz w:val="20"/>
      <w:szCs w:val="20"/>
    </w:rPr>
  </w:style>
  <w:style w:type="character" w:styleId="WW8Num4z0">
    <w:name w:val="WW8Num4z0"/>
    <w:qFormat/>
    <w:rPr>
      <w:rFonts w:ascii="Verdana" w:hAnsi="Verdana" w:eastAsia="Times New Roman" w:cs="Arial"/>
      <w:b/>
      <w:bCs/>
      <w:color w:val="000000"/>
      <w:sz w:val="20"/>
      <w:szCs w:val="20"/>
      <w:lang w:val="pt-BR" w:eastAsia="zh-CN" w:bidi="ar-SA"/>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4z1">
    <w:name w:val="WW8Num4z1"/>
    <w:qFormat/>
    <w:rPr>
      <w:rFonts w:ascii="Courier New" w:hAnsi="Courier New" w:cs="Courier New"/>
    </w:rPr>
  </w:style>
  <w:style w:type="character" w:styleId="WW8Num4z2">
    <w:name w:val="WW8Num4z2"/>
    <w:qFormat/>
    <w:rPr>
      <w:rFonts w:ascii="Wingdings" w:hAnsi="Wingdings" w:cs="Wingdings"/>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rFonts w:ascii="Arial" w:hAnsi="Arial" w:cs="Arial"/>
      <w:b/>
      <w:i w:val="false"/>
    </w:rPr>
  </w:style>
  <w:style w:type="character" w:styleId="WW8Num6z1">
    <w:name w:val="WW8Num6z1"/>
    <w:qFormat/>
    <w:rPr/>
  </w:style>
  <w:style w:type="character" w:styleId="WW8Num6z2">
    <w:name w:val="WW8Num6z2"/>
    <w:qFormat/>
    <w:rPr/>
  </w:style>
  <w:style w:type="character" w:styleId="WW8Num6z3">
    <w:name w:val="WW8Num6z3"/>
    <w:qFormat/>
    <w:rPr/>
  </w:style>
  <w:style w:type="character" w:styleId="WW8Num6z4">
    <w:name w:val="WW8Num6z4"/>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WW8Num7z0">
    <w:name w:val="WW8Num7z0"/>
    <w:qFormat/>
    <w:rPr>
      <w:b/>
    </w:rPr>
  </w:style>
  <w:style w:type="character" w:styleId="WW8Num7z1">
    <w:name w:val="WW8Num7z1"/>
    <w:qFormat/>
    <w:rPr/>
  </w:style>
  <w:style w:type="character" w:styleId="WW8Num7z2">
    <w:name w:val="WW8Num7z2"/>
    <w:qFormat/>
    <w:rPr/>
  </w:style>
  <w:style w:type="character" w:styleId="WW8Num7z3">
    <w:name w:val="WW8Num7z3"/>
    <w:qFormat/>
    <w:rPr/>
  </w:style>
  <w:style w:type="character" w:styleId="WW8Num7z4">
    <w:name w:val="WW8Num7z4"/>
    <w:qFormat/>
    <w:rPr/>
  </w:style>
  <w:style w:type="character" w:styleId="WW8Num7z5">
    <w:name w:val="WW8Num7z5"/>
    <w:qFormat/>
    <w:rPr/>
  </w:style>
  <w:style w:type="character" w:styleId="WW8Num7z6">
    <w:name w:val="WW8Num7z6"/>
    <w:qFormat/>
    <w:rPr/>
  </w:style>
  <w:style w:type="character" w:styleId="WW8Num7z7">
    <w:name w:val="WW8Num7z7"/>
    <w:qFormat/>
    <w:rPr/>
  </w:style>
  <w:style w:type="character" w:styleId="WW8Num7z8">
    <w:name w:val="WW8Num7z8"/>
    <w:qFormat/>
    <w:rPr/>
  </w:style>
  <w:style w:type="character" w:styleId="WW8Num8z0">
    <w:name w:val="WW8Num8z0"/>
    <w:qFormat/>
    <w:rPr>
      <w:b/>
      <w:sz w:val="20"/>
      <w:szCs w:val="20"/>
    </w:rPr>
  </w:style>
  <w:style w:type="character" w:styleId="WW8Num8z1">
    <w:name w:val="WW8Num8z1"/>
    <w:qFormat/>
    <w:rPr/>
  </w:style>
  <w:style w:type="character" w:styleId="WW8Num8z2">
    <w:name w:val="WW8Num8z2"/>
    <w:qFormat/>
    <w:rPr/>
  </w:style>
  <w:style w:type="character" w:styleId="WW8Num8z3">
    <w:name w:val="WW8Num8z3"/>
    <w:qFormat/>
    <w:rPr/>
  </w:style>
  <w:style w:type="character" w:styleId="WW8Num8z4">
    <w:name w:val="WW8Num8z4"/>
    <w:qFormat/>
    <w:rPr/>
  </w:style>
  <w:style w:type="character" w:styleId="WW8Num8z5">
    <w:name w:val="WW8Num8z5"/>
    <w:qFormat/>
    <w:rPr/>
  </w:style>
  <w:style w:type="character" w:styleId="WW8Num8z6">
    <w:name w:val="WW8Num8z6"/>
    <w:qFormat/>
    <w:rPr/>
  </w:style>
  <w:style w:type="character" w:styleId="WW8Num8z7">
    <w:name w:val="WW8Num8z7"/>
    <w:qFormat/>
    <w:rPr/>
  </w:style>
  <w:style w:type="character" w:styleId="WW8Num8z8">
    <w:name w:val="WW8Num8z8"/>
    <w:qFormat/>
    <w:rPr/>
  </w:style>
  <w:style w:type="character" w:styleId="WW8Num9z0">
    <w:name w:val="WW8Num9z0"/>
    <w:qFormat/>
    <w:rPr>
      <w:rFonts w:eastAsia="Times New Roman"/>
    </w:rPr>
  </w:style>
  <w:style w:type="character" w:styleId="WW8Num10z0">
    <w:name w:val="WW8Num10z0"/>
    <w:qFormat/>
    <w:rPr/>
  </w:style>
  <w:style w:type="character" w:styleId="WW8Num10z1">
    <w:name w:val="WW8Num10z1"/>
    <w:qFormat/>
    <w:rPr>
      <w:b/>
    </w:rPr>
  </w:style>
  <w:style w:type="character" w:styleId="WW8Num11z0">
    <w:name w:val="WW8Num11z0"/>
    <w:qFormat/>
    <w:rPr>
      <w:rFonts w:ascii="Arial" w:hAnsi="Arial" w:cs="Arial"/>
      <w:b/>
      <w:i w:val="false"/>
      <w:sz w:val="20"/>
      <w:szCs w:val="24"/>
    </w:rPr>
  </w:style>
  <w:style w:type="character" w:styleId="WW8Num11z1">
    <w:name w:val="WW8Num11z1"/>
    <w:qFormat/>
    <w:rPr/>
  </w:style>
  <w:style w:type="character" w:styleId="WW8Num11z2">
    <w:name w:val="WW8Num11z2"/>
    <w:qFormat/>
    <w:rPr/>
  </w:style>
  <w:style w:type="character" w:styleId="WW8Num11z3">
    <w:name w:val="WW8Num11z3"/>
    <w:qFormat/>
    <w:rPr/>
  </w:style>
  <w:style w:type="character" w:styleId="WW8Num11z4">
    <w:name w:val="WW8Num11z4"/>
    <w:qFormat/>
    <w:rPr/>
  </w:style>
  <w:style w:type="character" w:styleId="WW8Num11z5">
    <w:name w:val="WW8Num11z5"/>
    <w:qFormat/>
    <w:rPr/>
  </w:style>
  <w:style w:type="character" w:styleId="WW8Num11z6">
    <w:name w:val="WW8Num11z6"/>
    <w:qFormat/>
    <w:rPr/>
  </w:style>
  <w:style w:type="character" w:styleId="WW8Num11z7">
    <w:name w:val="WW8Num11z7"/>
    <w:qFormat/>
    <w:rPr/>
  </w:style>
  <w:style w:type="character" w:styleId="WW8Num11z8">
    <w:name w:val="WW8Num11z8"/>
    <w:qFormat/>
    <w:rPr/>
  </w:style>
  <w:style w:type="character" w:styleId="WW8Num12z0">
    <w:name w:val="WW8Num12z0"/>
    <w:qFormat/>
    <w:rPr>
      <w:rFonts w:ascii="Arial" w:hAnsi="Arial" w:cs="Arial"/>
      <w:b/>
      <w:i w:val="false"/>
      <w:color w:val="000000"/>
      <w:sz w:val="24"/>
      <w:szCs w:val="24"/>
    </w:rPr>
  </w:style>
  <w:style w:type="character" w:styleId="WW8Num12z1">
    <w:name w:val="WW8Num12z1"/>
    <w:qFormat/>
    <w:rPr>
      <w:rFonts w:ascii="Symbol" w:hAnsi="Symbol" w:cs="Symbol"/>
    </w:rPr>
  </w:style>
  <w:style w:type="character" w:styleId="WW8Num12z2">
    <w:name w:val="WW8Num12z2"/>
    <w:qFormat/>
    <w:rPr>
      <w:rFonts w:ascii="Arial" w:hAnsi="Arial" w:cs="Arial"/>
      <w:b/>
      <w:i w:val="false"/>
      <w:color w:val="000000"/>
      <w:sz w:val="20"/>
      <w:szCs w:val="24"/>
    </w:rPr>
  </w:style>
  <w:style w:type="character" w:styleId="WW8Num12z3">
    <w:name w:val="WW8Num12z3"/>
    <w:qFormat/>
    <w:rPr/>
  </w:style>
  <w:style w:type="character" w:styleId="WW8Num12z4">
    <w:name w:val="WW8Num12z4"/>
    <w:qFormat/>
    <w:rPr/>
  </w:style>
  <w:style w:type="character" w:styleId="WW8Num12z5">
    <w:name w:val="WW8Num12z5"/>
    <w:qFormat/>
    <w:rPr/>
  </w:style>
  <w:style w:type="character" w:styleId="WW8Num12z6">
    <w:name w:val="WW8Num12z6"/>
    <w:qFormat/>
    <w:rPr/>
  </w:style>
  <w:style w:type="character" w:styleId="WW8Num12z7">
    <w:name w:val="WW8Num12z7"/>
    <w:qFormat/>
    <w:rPr/>
  </w:style>
  <w:style w:type="character" w:styleId="WW8Num12z8">
    <w:name w:val="WW8Num12z8"/>
    <w:qFormat/>
    <w:rPr/>
  </w:style>
  <w:style w:type="character" w:styleId="WW8Num13z0">
    <w:name w:val="WW8Num13z0"/>
    <w:qFormat/>
    <w:rPr>
      <w:rFonts w:ascii="Arial" w:hAnsi="Arial" w:cs="Arial"/>
      <w:b/>
      <w:i w:val="false"/>
      <w:color w:val="000000"/>
      <w:sz w:val="20"/>
      <w:szCs w:val="24"/>
    </w:rPr>
  </w:style>
  <w:style w:type="character" w:styleId="WW8Num13z1">
    <w:name w:val="WW8Num13z1"/>
    <w:qFormat/>
    <w:rPr/>
  </w:style>
  <w:style w:type="character" w:styleId="WW8Num13z2">
    <w:name w:val="WW8Num13z2"/>
    <w:qFormat/>
    <w:rPr/>
  </w:style>
  <w:style w:type="character" w:styleId="WW8Num13z3">
    <w:name w:val="WW8Num13z3"/>
    <w:qFormat/>
    <w:rPr/>
  </w:style>
  <w:style w:type="character" w:styleId="WW8Num13z4">
    <w:name w:val="WW8Num13z4"/>
    <w:qFormat/>
    <w:rPr/>
  </w:style>
  <w:style w:type="character" w:styleId="WW8Num13z5">
    <w:name w:val="WW8Num13z5"/>
    <w:qFormat/>
    <w:rPr/>
  </w:style>
  <w:style w:type="character" w:styleId="WW8Num13z6">
    <w:name w:val="WW8Num13z6"/>
    <w:qFormat/>
    <w:rPr/>
  </w:style>
  <w:style w:type="character" w:styleId="WW8Num13z7">
    <w:name w:val="WW8Num13z7"/>
    <w:qFormat/>
    <w:rPr/>
  </w:style>
  <w:style w:type="character" w:styleId="WW8Num13z8">
    <w:name w:val="WW8Num13z8"/>
    <w:qFormat/>
    <w:rPr/>
  </w:style>
  <w:style w:type="character" w:styleId="WW8Num14z0">
    <w:name w:val="WW8Num14z0"/>
    <w:qFormat/>
    <w:rPr>
      <w:rFonts w:ascii="Arial" w:hAnsi="Arial" w:cs="Arial"/>
      <w:b/>
      <w:i w:val="false"/>
      <w:sz w:val="20"/>
      <w:szCs w:val="20"/>
      <w:u w:val="none"/>
    </w:rPr>
  </w:style>
  <w:style w:type="character" w:styleId="WW8Num14z1">
    <w:name w:val="WW8Num14z1"/>
    <w:qFormat/>
    <w:rPr/>
  </w:style>
  <w:style w:type="character" w:styleId="WW8Num15z0">
    <w:name w:val="WW8Num15z0"/>
    <w:qFormat/>
    <w:rPr>
      <w:rFonts w:cs="Times New Roman"/>
      <w:b/>
    </w:rPr>
  </w:style>
  <w:style w:type="character" w:styleId="WW8Num16z0">
    <w:name w:val="WW8Num16z0"/>
    <w:qFormat/>
    <w:rPr>
      <w:rFonts w:ascii="Arial" w:hAnsi="Arial" w:cs="Arial"/>
      <w:b/>
      <w:i w:val="false"/>
      <w:spacing w:val="0"/>
      <w:w w:val="100"/>
      <w:kern w:val="0"/>
      <w:position w:val="0"/>
      <w:sz w:val="20"/>
      <w:sz w:val="20"/>
      <w:szCs w:val="24"/>
      <w:vertAlign w:val="baseline"/>
    </w:rPr>
  </w:style>
  <w:style w:type="character" w:styleId="WW8Num16z1">
    <w:name w:val="WW8Num16z1"/>
    <w:qFormat/>
    <w:rPr/>
  </w:style>
  <w:style w:type="character" w:styleId="WW8Num16z2">
    <w:name w:val="WW8Num16z2"/>
    <w:qFormat/>
    <w:rPr/>
  </w:style>
  <w:style w:type="character" w:styleId="WW8Num16z3">
    <w:name w:val="WW8Num16z3"/>
    <w:qFormat/>
    <w:rPr/>
  </w:style>
  <w:style w:type="character" w:styleId="WW8Num16z4">
    <w:name w:val="WW8Num16z4"/>
    <w:qFormat/>
    <w:rPr/>
  </w:style>
  <w:style w:type="character" w:styleId="WW8Num16z5">
    <w:name w:val="WW8Num16z5"/>
    <w:qFormat/>
    <w:rPr/>
  </w:style>
  <w:style w:type="character" w:styleId="WW8Num16z6">
    <w:name w:val="WW8Num16z6"/>
    <w:qFormat/>
    <w:rPr/>
  </w:style>
  <w:style w:type="character" w:styleId="WW8Num16z7">
    <w:name w:val="WW8Num16z7"/>
    <w:qFormat/>
    <w:rPr/>
  </w:style>
  <w:style w:type="character" w:styleId="WW8Num16z8">
    <w:name w:val="WW8Num16z8"/>
    <w:qFormat/>
    <w:rPr/>
  </w:style>
  <w:style w:type="character" w:styleId="WW8Num17z0">
    <w:name w:val="WW8Num17z0"/>
    <w:qFormat/>
    <w:rPr/>
  </w:style>
  <w:style w:type="character" w:styleId="WW8Num17z1">
    <w:name w:val="WW8Num17z1"/>
    <w:qFormat/>
    <w:rPr>
      <w:rFonts w:ascii="Calibri" w:hAnsi="Calibri" w:cs="Calibri"/>
      <w:b/>
      <w:i w:val="false"/>
      <w:color w:val="000000"/>
      <w:sz w:val="22"/>
      <w:szCs w:val="22"/>
    </w:rPr>
  </w:style>
  <w:style w:type="character" w:styleId="WW8Num18z0">
    <w:name w:val="WW8Num18z0"/>
    <w:qFormat/>
    <w:rPr/>
  </w:style>
  <w:style w:type="character" w:styleId="WW8Num18z1">
    <w:name w:val="WW8Num18z1"/>
    <w:qFormat/>
    <w:rPr/>
  </w:style>
  <w:style w:type="character" w:styleId="WW8Num18z2">
    <w:name w:val="WW8Num18z2"/>
    <w:qFormat/>
    <w:rPr/>
  </w:style>
  <w:style w:type="character" w:styleId="WW8Num18z3">
    <w:name w:val="WW8Num18z3"/>
    <w:qFormat/>
    <w:rPr/>
  </w:style>
  <w:style w:type="character" w:styleId="WW8Num18z4">
    <w:name w:val="WW8Num18z4"/>
    <w:qFormat/>
    <w:rPr/>
  </w:style>
  <w:style w:type="character" w:styleId="WW8Num18z5">
    <w:name w:val="WW8Num18z5"/>
    <w:qFormat/>
    <w:rPr/>
  </w:style>
  <w:style w:type="character" w:styleId="WW8Num18z6">
    <w:name w:val="WW8Num18z6"/>
    <w:qFormat/>
    <w:rPr/>
  </w:style>
  <w:style w:type="character" w:styleId="WW8Num18z7">
    <w:name w:val="WW8Num18z7"/>
    <w:qFormat/>
    <w:rPr/>
  </w:style>
  <w:style w:type="character" w:styleId="WW8Num18z8">
    <w:name w:val="WW8Num18z8"/>
    <w:qFormat/>
    <w:rPr/>
  </w:style>
  <w:style w:type="character" w:styleId="WW8Num19z0">
    <w:name w:val="WW8Num19z0"/>
    <w:qFormat/>
    <w:rPr/>
  </w:style>
  <w:style w:type="character" w:styleId="WW8Num19z1">
    <w:name w:val="WW8Num19z1"/>
    <w:qFormat/>
    <w:rPr>
      <w:b/>
    </w:rPr>
  </w:style>
  <w:style w:type="character" w:styleId="WW8Num20z0">
    <w:name w:val="WW8Num20z0"/>
    <w:qFormat/>
    <w:rPr>
      <w:b/>
    </w:rPr>
  </w:style>
  <w:style w:type="character" w:styleId="WW8Num20z1">
    <w:name w:val="WW8Num20z1"/>
    <w:qFormat/>
    <w:rPr>
      <w:b/>
      <w:sz w:val="20"/>
      <w:szCs w:val="20"/>
    </w:rPr>
  </w:style>
  <w:style w:type="character" w:styleId="WW8Num21z0">
    <w:name w:val="WW8Num21z0"/>
    <w:qFormat/>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style>
  <w:style w:type="character" w:styleId="WW8Num22z1">
    <w:name w:val="WW8Num22z1"/>
    <w:qFormat/>
    <w:rPr>
      <w:b/>
    </w:rPr>
  </w:style>
  <w:style w:type="character" w:styleId="WW8Num23z0">
    <w:name w:val="WW8Num23z0"/>
    <w:qFormat/>
    <w:rPr>
      <w:rFonts w:ascii="Arial" w:hAnsi="Arial" w:cs="Times New Roman"/>
      <w:b/>
      <w:i w:val="false"/>
      <w:strike w:val="false"/>
      <w:dstrike w:val="false"/>
      <w:sz w:val="20"/>
      <w:szCs w:val="24"/>
      <w:u w:val="none"/>
    </w:rPr>
  </w:style>
  <w:style w:type="character" w:styleId="WW8Num24z0">
    <w:name w:val="WW8Num24z0"/>
    <w:qFormat/>
    <w:rPr>
      <w:rFonts w:ascii="Arial" w:hAnsi="Arial" w:cs="Arial"/>
      <w:b/>
      <w:i w:val="false"/>
      <w:spacing w:val="0"/>
      <w:kern w:val="2"/>
      <w:position w:val="0"/>
      <w:sz w:val="20"/>
      <w:sz w:val="20"/>
      <w:szCs w:val="20"/>
      <w:vertAlign w:val="baseline"/>
    </w:rPr>
  </w:style>
  <w:style w:type="character" w:styleId="WW8Num24z1">
    <w:name w:val="WW8Num24z1"/>
    <w:qFormat/>
    <w:rPr/>
  </w:style>
  <w:style w:type="character" w:styleId="WW8Num24z2">
    <w:name w:val="WW8Num24z2"/>
    <w:qFormat/>
    <w:rPr/>
  </w:style>
  <w:style w:type="character" w:styleId="WW8Num24z3">
    <w:name w:val="WW8Num24z3"/>
    <w:qFormat/>
    <w:rPr/>
  </w:style>
  <w:style w:type="character" w:styleId="WW8Num24z4">
    <w:name w:val="WW8Num24z4"/>
    <w:qFormat/>
    <w:rPr/>
  </w:style>
  <w:style w:type="character" w:styleId="WW8Num24z5">
    <w:name w:val="WW8Num24z5"/>
    <w:qFormat/>
    <w:rPr/>
  </w:style>
  <w:style w:type="character" w:styleId="WW8Num24z6">
    <w:name w:val="WW8Num24z6"/>
    <w:qFormat/>
    <w:rPr/>
  </w:style>
  <w:style w:type="character" w:styleId="WW8Num24z7">
    <w:name w:val="WW8Num24z7"/>
    <w:qFormat/>
    <w:rPr/>
  </w:style>
  <w:style w:type="character" w:styleId="WW8Num24z8">
    <w:name w:val="WW8Num24z8"/>
    <w:qFormat/>
    <w:rPr/>
  </w:style>
  <w:style w:type="character" w:styleId="WW8Num25z0">
    <w:name w:val="WW8Num25z0"/>
    <w:qFormat/>
    <w:rPr>
      <w:rFonts w:ascii="Symbol" w:hAnsi="Symbol" w:cs="Symbol"/>
    </w:rPr>
  </w:style>
  <w:style w:type="character" w:styleId="WW8Num25z1">
    <w:name w:val="WW8Num25z1"/>
    <w:qFormat/>
    <w:rPr>
      <w:rFonts w:ascii="Courier New" w:hAnsi="Courier New" w:cs="Courier New"/>
    </w:rPr>
  </w:style>
  <w:style w:type="character" w:styleId="WW8Num25z2">
    <w:name w:val="WW8Num25z2"/>
    <w:qFormat/>
    <w:rPr>
      <w:rFonts w:ascii="Wingdings" w:hAnsi="Wingdings" w:cs="Wingdings"/>
    </w:rPr>
  </w:style>
  <w:style w:type="character" w:styleId="WW8Num26z0">
    <w:name w:val="WW8Num26z0"/>
    <w:qFormat/>
    <w:rPr>
      <w:rFonts w:ascii="Arial" w:hAnsi="Arial" w:cs="Arial"/>
      <w:b/>
      <w:i w:val="false"/>
      <w:sz w:val="20"/>
      <w:szCs w:val="24"/>
      <w:u w:val="none"/>
    </w:rPr>
  </w:style>
  <w:style w:type="character" w:styleId="WW8Num27z0">
    <w:name w:val="WW8Num27z0"/>
    <w:qFormat/>
    <w:rPr>
      <w:rFonts w:ascii="Arial" w:hAnsi="Arial" w:cs="Arial"/>
      <w:b/>
      <w:i w:val="false"/>
      <w:color w:val="000000"/>
      <w:sz w:val="20"/>
      <w:szCs w:val="24"/>
    </w:rPr>
  </w:style>
  <w:style w:type="character" w:styleId="WW8Num27z1">
    <w:name w:val="WW8Num27z1"/>
    <w:qFormat/>
    <w:rPr/>
  </w:style>
  <w:style w:type="character" w:styleId="WW8Num27z2">
    <w:name w:val="WW8Num27z2"/>
    <w:qFormat/>
    <w:rPr/>
  </w:style>
  <w:style w:type="character" w:styleId="WW8Num27z3">
    <w:name w:val="WW8Num27z3"/>
    <w:qFormat/>
    <w:rPr/>
  </w:style>
  <w:style w:type="character" w:styleId="WW8Num27z4">
    <w:name w:val="WW8Num27z4"/>
    <w:qFormat/>
    <w:rPr/>
  </w:style>
  <w:style w:type="character" w:styleId="WW8Num27z5">
    <w:name w:val="WW8Num27z5"/>
    <w:qFormat/>
    <w:rPr/>
  </w:style>
  <w:style w:type="character" w:styleId="WW8Num27z6">
    <w:name w:val="WW8Num27z6"/>
    <w:qFormat/>
    <w:rPr/>
  </w:style>
  <w:style w:type="character" w:styleId="WW8Num27z7">
    <w:name w:val="WW8Num27z7"/>
    <w:qFormat/>
    <w:rPr/>
  </w:style>
  <w:style w:type="character" w:styleId="WW8Num27z8">
    <w:name w:val="WW8Num27z8"/>
    <w:qFormat/>
    <w:rPr/>
  </w:style>
  <w:style w:type="character" w:styleId="WW8Num28z0">
    <w:name w:val="WW8Num28z0"/>
    <w:qFormat/>
    <w:rPr>
      <w:b/>
    </w:rPr>
  </w:style>
  <w:style w:type="character" w:styleId="WW8Num28z1">
    <w:name w:val="WW8Num28z1"/>
    <w:qFormat/>
    <w:rPr/>
  </w:style>
  <w:style w:type="character" w:styleId="WW8Num28z2">
    <w:name w:val="WW8Num28z2"/>
    <w:qFormat/>
    <w:rPr/>
  </w:style>
  <w:style w:type="character" w:styleId="WW8Num28z3">
    <w:name w:val="WW8Num28z3"/>
    <w:qFormat/>
    <w:rPr/>
  </w:style>
  <w:style w:type="character" w:styleId="WW8Num28z4">
    <w:name w:val="WW8Num28z4"/>
    <w:qFormat/>
    <w:rPr/>
  </w:style>
  <w:style w:type="character" w:styleId="WW8Num28z5">
    <w:name w:val="WW8Num28z5"/>
    <w:qFormat/>
    <w:rPr/>
  </w:style>
  <w:style w:type="character" w:styleId="WW8Num28z6">
    <w:name w:val="WW8Num28z6"/>
    <w:qFormat/>
    <w:rPr/>
  </w:style>
  <w:style w:type="character" w:styleId="WW8Num28z7">
    <w:name w:val="WW8Num28z7"/>
    <w:qFormat/>
    <w:rPr/>
  </w:style>
  <w:style w:type="character" w:styleId="WW8Num28z8">
    <w:name w:val="WW8Num28z8"/>
    <w:qFormat/>
    <w:rPr/>
  </w:style>
  <w:style w:type="character" w:styleId="WW8Num29z0">
    <w:name w:val="WW8Num29z0"/>
    <w:qFormat/>
    <w:rPr/>
  </w:style>
  <w:style w:type="character" w:styleId="WW8Num29z2">
    <w:name w:val="WW8Num29z2"/>
    <w:qFormat/>
    <w:rPr>
      <w:b/>
    </w:rPr>
  </w:style>
  <w:style w:type="character" w:styleId="WW8Num30z0">
    <w:name w:val="WW8Num30z0"/>
    <w:qFormat/>
    <w:rPr>
      <w:rFonts w:ascii="Arial" w:hAnsi="Arial" w:cs="Arial"/>
      <w:b/>
      <w:i w:val="false"/>
      <w:spacing w:val="0"/>
      <w:kern w:val="2"/>
      <w:position w:val="0"/>
      <w:sz w:val="20"/>
      <w:sz w:val="20"/>
      <w:szCs w:val="20"/>
      <w:vertAlign w:val="baseline"/>
    </w:rPr>
  </w:style>
  <w:style w:type="character" w:styleId="WW8Num30z1">
    <w:name w:val="WW8Num30z1"/>
    <w:qFormat/>
    <w:rPr/>
  </w:style>
  <w:style w:type="character" w:styleId="WW8Num30z2">
    <w:name w:val="WW8Num30z2"/>
    <w:qFormat/>
    <w:rPr/>
  </w:style>
  <w:style w:type="character" w:styleId="WW8Num30z3">
    <w:name w:val="WW8Num30z3"/>
    <w:qFormat/>
    <w:rPr/>
  </w:style>
  <w:style w:type="character" w:styleId="WW8Num30z4">
    <w:name w:val="WW8Num30z4"/>
    <w:qFormat/>
    <w:rPr/>
  </w:style>
  <w:style w:type="character" w:styleId="WW8Num30z5">
    <w:name w:val="WW8Num30z5"/>
    <w:qFormat/>
    <w:rPr/>
  </w:style>
  <w:style w:type="character" w:styleId="WW8Num30z6">
    <w:name w:val="WW8Num30z6"/>
    <w:qFormat/>
    <w:rPr/>
  </w:style>
  <w:style w:type="character" w:styleId="WW8Num30z7">
    <w:name w:val="WW8Num30z7"/>
    <w:qFormat/>
    <w:rPr/>
  </w:style>
  <w:style w:type="character" w:styleId="WW8Num30z8">
    <w:name w:val="WW8Num30z8"/>
    <w:qFormat/>
    <w:rPr/>
  </w:style>
  <w:style w:type="character" w:styleId="WW8Num31z0">
    <w:name w:val="WW8Num31z0"/>
    <w:qFormat/>
    <w:rPr/>
  </w:style>
  <w:style w:type="character" w:styleId="WW8Num31z1">
    <w:name w:val="WW8Num31z1"/>
    <w:qFormat/>
    <w:rPr/>
  </w:style>
  <w:style w:type="character" w:styleId="WW8Num31z2">
    <w:name w:val="WW8Num31z2"/>
    <w:qFormat/>
    <w:rPr/>
  </w:style>
  <w:style w:type="character" w:styleId="WW8Num31z3">
    <w:name w:val="WW8Num31z3"/>
    <w:qFormat/>
    <w:rPr/>
  </w:style>
  <w:style w:type="character" w:styleId="WW8Num31z4">
    <w:name w:val="WW8Num31z4"/>
    <w:qFormat/>
    <w:rPr/>
  </w:style>
  <w:style w:type="character" w:styleId="WW8Num31z5">
    <w:name w:val="WW8Num31z5"/>
    <w:qFormat/>
    <w:rPr/>
  </w:style>
  <w:style w:type="character" w:styleId="WW8Num31z6">
    <w:name w:val="WW8Num31z6"/>
    <w:qFormat/>
    <w:rPr/>
  </w:style>
  <w:style w:type="character" w:styleId="WW8Num31z7">
    <w:name w:val="WW8Num31z7"/>
    <w:qFormat/>
    <w:rPr/>
  </w:style>
  <w:style w:type="character" w:styleId="WW8Num31z8">
    <w:name w:val="WW8Num31z8"/>
    <w:qFormat/>
    <w:rPr/>
  </w:style>
  <w:style w:type="character" w:styleId="WW8Num32z0">
    <w:name w:val="WW8Num32z0"/>
    <w:qFormat/>
    <w:rPr>
      <w:rFonts w:ascii="Arial" w:hAnsi="Arial" w:cs="Arial"/>
      <w:b/>
      <w:bCs/>
      <w:iCs/>
      <w:sz w:val="20"/>
      <w:szCs w:val="20"/>
    </w:rPr>
  </w:style>
  <w:style w:type="character" w:styleId="WW8Num32z1">
    <w:name w:val="WW8Num32z1"/>
    <w:qFormat/>
    <w:rPr/>
  </w:style>
  <w:style w:type="character" w:styleId="WW8Num32z2">
    <w:name w:val="WW8Num32z2"/>
    <w:qFormat/>
    <w:rPr/>
  </w:style>
  <w:style w:type="character" w:styleId="WW8Num32z3">
    <w:name w:val="WW8Num32z3"/>
    <w:qFormat/>
    <w:rPr/>
  </w:style>
  <w:style w:type="character" w:styleId="WW8Num32z4">
    <w:name w:val="WW8Num32z4"/>
    <w:qFormat/>
    <w:rPr/>
  </w:style>
  <w:style w:type="character" w:styleId="WW8Num32z5">
    <w:name w:val="WW8Num32z5"/>
    <w:qFormat/>
    <w:rPr/>
  </w:style>
  <w:style w:type="character" w:styleId="WW8Num32z6">
    <w:name w:val="WW8Num32z6"/>
    <w:qFormat/>
    <w:rPr/>
  </w:style>
  <w:style w:type="character" w:styleId="WW8Num32z7">
    <w:name w:val="WW8Num32z7"/>
    <w:qFormat/>
    <w:rPr/>
  </w:style>
  <w:style w:type="character" w:styleId="WW8Num32z8">
    <w:name w:val="WW8Num32z8"/>
    <w:qFormat/>
    <w:rPr/>
  </w:style>
  <w:style w:type="character" w:styleId="WW8Num33z0">
    <w:name w:val="WW8Num33z0"/>
    <w:qFormat/>
    <w:rPr>
      <w:b/>
    </w:rPr>
  </w:style>
  <w:style w:type="character" w:styleId="WW8Num33z1">
    <w:name w:val="WW8Num33z1"/>
    <w:qFormat/>
    <w:rPr/>
  </w:style>
  <w:style w:type="character" w:styleId="WW8Num33z2">
    <w:name w:val="WW8Num33z2"/>
    <w:qFormat/>
    <w:rPr/>
  </w:style>
  <w:style w:type="character" w:styleId="WW8Num33z3">
    <w:name w:val="WW8Num33z3"/>
    <w:qFormat/>
    <w:rPr/>
  </w:style>
  <w:style w:type="character" w:styleId="WW8Num33z4">
    <w:name w:val="WW8Num33z4"/>
    <w:qFormat/>
    <w:rPr/>
  </w:style>
  <w:style w:type="character" w:styleId="WW8Num33z5">
    <w:name w:val="WW8Num33z5"/>
    <w:qFormat/>
    <w:rPr/>
  </w:style>
  <w:style w:type="character" w:styleId="WW8Num33z6">
    <w:name w:val="WW8Num33z6"/>
    <w:qFormat/>
    <w:rPr/>
  </w:style>
  <w:style w:type="character" w:styleId="WW8Num33z7">
    <w:name w:val="WW8Num33z7"/>
    <w:qFormat/>
    <w:rPr/>
  </w:style>
  <w:style w:type="character" w:styleId="WW8Num33z8">
    <w:name w:val="WW8Num33z8"/>
    <w:qFormat/>
    <w:rPr/>
  </w:style>
  <w:style w:type="character" w:styleId="WW8Num34z0">
    <w:name w:val="WW8Num34z0"/>
    <w:qFormat/>
    <w:rPr>
      <w:rFonts w:ascii="Symbol" w:hAnsi="Symbol" w:cs="Symbol"/>
    </w:rPr>
  </w:style>
  <w:style w:type="character" w:styleId="WW8Num34z1">
    <w:name w:val="WW8Num34z1"/>
    <w:qFormat/>
    <w:rPr>
      <w:rFonts w:ascii="Courier New" w:hAnsi="Courier New" w:cs="Courier New"/>
    </w:rPr>
  </w:style>
  <w:style w:type="character" w:styleId="WW8Num34z2">
    <w:name w:val="WW8Num34z2"/>
    <w:qFormat/>
    <w:rPr>
      <w:rFonts w:ascii="Wingdings" w:hAnsi="Wingdings" w:cs="Wingdings"/>
    </w:rPr>
  </w:style>
  <w:style w:type="character" w:styleId="WW8Num35z0">
    <w:name w:val="WW8Num35z0"/>
    <w:qFormat/>
    <w:rPr>
      <w:b/>
    </w:rPr>
  </w:style>
  <w:style w:type="character" w:styleId="Fontepargpadro">
    <w:name w:val="Fonte parág. padrão"/>
    <w:qFormat/>
    <w:rPr/>
  </w:style>
  <w:style w:type="character" w:styleId="Nmerodepgina">
    <w:name w:val="Page Number"/>
    <w:basedOn w:val="Fontepargpadro"/>
    <w:rPr/>
  </w:style>
  <w:style w:type="character" w:styleId="LinkdaInternet">
    <w:name w:val="Hyperlink"/>
    <w:rPr>
      <w:color w:val="0000FF"/>
      <w:u w:val="single"/>
    </w:rPr>
  </w:style>
  <w:style w:type="character" w:styleId="CabealhoChar">
    <w:name w:val="Cabeçalho Char"/>
    <w:qFormat/>
    <w:rPr>
      <w:sz w:val="24"/>
      <w:szCs w:val="24"/>
    </w:rPr>
  </w:style>
  <w:style w:type="character" w:styleId="TextodebaloChar">
    <w:name w:val="Texto de balão Char"/>
    <w:qFormat/>
    <w:rPr>
      <w:rFonts w:ascii="Segoe UI" w:hAnsi="Segoe UI" w:cs="Segoe UI"/>
      <w:sz w:val="18"/>
      <w:szCs w:val="18"/>
    </w:rPr>
  </w:style>
  <w:style w:type="character" w:styleId="CorpoChar">
    <w:name w:val="Corpo Char"/>
    <w:qFormat/>
    <w:rPr>
      <w:color w:val="000000"/>
      <w:sz w:val="24"/>
      <w:lang w:bidi="ar-SA"/>
    </w:rPr>
  </w:style>
  <w:style w:type="character" w:styleId="Ttulo1Char">
    <w:name w:val="Título 1 Char"/>
    <w:qFormat/>
    <w:rPr>
      <w:b/>
    </w:rPr>
  </w:style>
  <w:style w:type="character" w:styleId="Refdecomentrio">
    <w:name w:val="Ref. de comentário"/>
    <w:qFormat/>
    <w:rPr>
      <w:sz w:val="16"/>
      <w:szCs w:val="16"/>
    </w:rPr>
  </w:style>
  <w:style w:type="character" w:styleId="TextodecomentrioChar">
    <w:name w:val="Texto de comentário Char"/>
    <w:basedOn w:val="Fontepargpadro"/>
    <w:qFormat/>
    <w:rPr/>
  </w:style>
  <w:style w:type="character" w:styleId="AssuntodocomentrioChar">
    <w:name w:val="Assunto do comentário Char"/>
    <w:qFormat/>
    <w:rPr>
      <w:b/>
      <w:bCs/>
    </w:rPr>
  </w:style>
  <w:style w:type="character" w:styleId="Ttulo2Char">
    <w:name w:val="Título 2 Char"/>
    <w:qFormat/>
    <w:rPr>
      <w:rFonts w:ascii="Cambria" w:hAnsi="Cambria" w:eastAsia="Times New Roman" w:cs="Times New Roman"/>
      <w:b/>
      <w:bCs/>
      <w:i/>
      <w:iCs/>
      <w:sz w:val="28"/>
      <w:szCs w:val="28"/>
    </w:rPr>
  </w:style>
  <w:style w:type="character" w:styleId="WW8Num29z1">
    <w:name w:val="WW8Num29z1"/>
    <w:qFormat/>
    <w:rPr/>
  </w:style>
  <w:style w:type="character" w:styleId="WW8Num29z3">
    <w:name w:val="WW8Num29z3"/>
    <w:qFormat/>
    <w:rPr/>
  </w:style>
  <w:style w:type="character" w:styleId="WW8Num29z4">
    <w:name w:val="WW8Num29z4"/>
    <w:qFormat/>
    <w:rPr/>
  </w:style>
  <w:style w:type="character" w:styleId="WW8Num29z5">
    <w:name w:val="WW8Num29z5"/>
    <w:qFormat/>
    <w:rPr/>
  </w:style>
  <w:style w:type="character" w:styleId="WW8Num29z6">
    <w:name w:val="WW8Num29z6"/>
    <w:qFormat/>
    <w:rPr/>
  </w:style>
  <w:style w:type="character" w:styleId="WW8Num29z7">
    <w:name w:val="WW8Num29z7"/>
    <w:qFormat/>
    <w:rPr/>
  </w:style>
  <w:style w:type="character" w:styleId="WW8Num29z8">
    <w:name w:val="WW8Num29z8"/>
    <w:qFormat/>
    <w:rPr/>
  </w:style>
  <w:style w:type="character" w:styleId="Smbolosdenumerao">
    <w:name w:val="Símbolos de numeração"/>
    <w:qFormat/>
    <w:rPr>
      <w:rFonts w:ascii="Verdana" w:hAnsi="Verdana" w:cs="Verdana"/>
      <w:b/>
      <w:bCs/>
      <w:sz w:val="20"/>
      <w:szCs w:val="20"/>
    </w:rPr>
  </w:style>
  <w:style w:type="paragraph" w:styleId="Ttulo">
    <w:name w:val="Título"/>
    <w:basedOn w:val="Normal"/>
    <w:next w:val="Corpodotexto"/>
    <w:qFormat/>
    <w:pPr>
      <w:keepNext w:val="true"/>
      <w:spacing w:before="240" w:after="120"/>
    </w:pPr>
    <w:rPr>
      <w:rFonts w:ascii="Liberation Sans;Arial" w:hAnsi="Liberation Sans;Arial" w:eastAsia="Microsoft YaHei" w:cs="Mangal"/>
      <w:sz w:val="28"/>
      <w:szCs w:val="28"/>
    </w:rPr>
  </w:style>
  <w:style w:type="paragraph" w:styleId="Corpodotexto">
    <w:name w:val="Body Text"/>
    <w:basedOn w:val="Normal"/>
    <w:pPr>
      <w:jc w:val="both"/>
    </w:pPr>
    <w:rPr>
      <w:szCs w:val="20"/>
    </w:rPr>
  </w:style>
  <w:style w:type="paragraph" w:styleId="Lista">
    <w:name w:val="List"/>
    <w:basedOn w:val="Corpodotexto"/>
    <w:pPr/>
    <w:rPr>
      <w:rFonts w:cs="Mangal"/>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eRodap">
    <w:name w:val="Cabeçalho e Rodapé"/>
    <w:basedOn w:val="Normal"/>
    <w:qFormat/>
    <w:pPr>
      <w:suppressLineNumbers/>
      <w:tabs>
        <w:tab w:val="clear" w:pos="708"/>
        <w:tab w:val="center" w:pos="4819" w:leader="none"/>
        <w:tab w:val="right" w:pos="9638" w:leader="none"/>
      </w:tabs>
    </w:pPr>
    <w:rPr/>
  </w:style>
  <w:style w:type="paragraph" w:styleId="Cabealho">
    <w:name w:val="Header"/>
    <w:basedOn w:val="Normal"/>
    <w:pPr/>
    <w:rPr>
      <w:lang w:val="pt-BR"/>
    </w:rPr>
  </w:style>
  <w:style w:type="paragraph" w:styleId="WW-Corpodotexto">
    <w:name w:val="WW-Corpo do texto"/>
    <w:basedOn w:val="Normal"/>
    <w:qFormat/>
    <w:pPr>
      <w:suppressAutoHyphens w:val="true"/>
      <w:overflowPunct w:val="false"/>
      <w:autoSpaceDE w:val="false"/>
      <w:spacing w:lineRule="atLeast" w:line="240"/>
      <w:jc w:val="both"/>
      <w:textAlignment w:val="baseline"/>
    </w:pPr>
    <w:rPr>
      <w:szCs w:val="20"/>
      <w:lang w:val="pt-BR" w:eastAsia="pt-BR"/>
    </w:rPr>
  </w:style>
  <w:style w:type="paragraph" w:styleId="Estilo">
    <w:name w:val="Estilo"/>
    <w:qFormat/>
    <w:pPr>
      <w:widowControl w:val="false"/>
      <w:suppressAutoHyphens w:val="true"/>
      <w:autoSpaceDE w:val="false"/>
      <w:bidi w:val="0"/>
    </w:pPr>
    <w:rPr>
      <w:rFonts w:ascii="Arial" w:hAnsi="Arial" w:eastAsia="Times New Roman" w:cs="Arial"/>
      <w:color w:val="auto"/>
      <w:sz w:val="24"/>
      <w:szCs w:val="24"/>
      <w:lang w:val="pt-BR" w:eastAsia="zh-CN" w:bidi="ar-SA"/>
    </w:rPr>
  </w:style>
  <w:style w:type="paragraph" w:styleId="Corpodetexto3">
    <w:name w:val="Corpo de texto 3"/>
    <w:basedOn w:val="Normal"/>
    <w:qFormat/>
    <w:pPr>
      <w:spacing w:before="0" w:after="120"/>
    </w:pPr>
    <w:rPr>
      <w:sz w:val="16"/>
      <w:szCs w:val="16"/>
    </w:rPr>
  </w:style>
  <w:style w:type="paragraph" w:styleId="Rodap">
    <w:name w:val="Footer"/>
    <w:basedOn w:val="Normal"/>
    <w:pPr/>
    <w:rPr/>
  </w:style>
  <w:style w:type="paragraph" w:styleId="PargrafodaLista">
    <w:name w:val="Parágrafo da Lista"/>
    <w:basedOn w:val="Normal"/>
    <w:qFormat/>
    <w:pPr>
      <w:spacing w:before="0" w:after="0"/>
      <w:ind w:left="720" w:right="0" w:hanging="0"/>
      <w:contextualSpacing/>
    </w:pPr>
    <w:rPr/>
  </w:style>
  <w:style w:type="paragraph" w:styleId="WW-Corpodetexto3">
    <w:name w:val="WW-Corpo de texto 3"/>
    <w:basedOn w:val="Normal"/>
    <w:qFormat/>
    <w:pPr>
      <w:widowControl w:val="false"/>
      <w:suppressAutoHyphens w:val="true"/>
      <w:spacing w:lineRule="auto" w:line="360"/>
      <w:jc w:val="both"/>
    </w:pPr>
    <w:rPr>
      <w:rFonts w:ascii="Arial" w:hAnsi="Arial" w:eastAsia="Lucida Sans Unicode" w:cs="Arial"/>
      <w:color w:val="000000"/>
      <w:lang w:val="pt-PT"/>
    </w:rPr>
  </w:style>
  <w:style w:type="paragraph" w:styleId="Corpo">
    <w:name w:val="Corpo"/>
    <w:qFormat/>
    <w:pPr>
      <w:widowControl/>
      <w:suppressAutoHyphens w:val="true"/>
      <w:bidi w:val="0"/>
    </w:pPr>
    <w:rPr>
      <w:rFonts w:ascii="Times New Roman" w:hAnsi="Times New Roman" w:eastAsia="Times New Roman" w:cs="Times New Roman"/>
      <w:color w:val="000000"/>
      <w:sz w:val="24"/>
      <w:szCs w:val="20"/>
      <w:lang w:val="pt-BR" w:eastAsia="zh-CN" w:bidi="ar-SA"/>
    </w:rPr>
  </w:style>
  <w:style w:type="paragraph" w:styleId="WW-Textosimples">
    <w:name w:val="WW-Texto simples"/>
    <w:basedOn w:val="Normal"/>
    <w:qFormat/>
    <w:pPr>
      <w:suppressAutoHyphens w:val="true"/>
    </w:pPr>
    <w:rPr>
      <w:rFonts w:ascii="Courier New" w:hAnsi="Courier New" w:cs="Courier New"/>
      <w:sz w:val="20"/>
      <w:szCs w:val="20"/>
    </w:rPr>
  </w:style>
  <w:style w:type="paragraph" w:styleId="Textodebalo">
    <w:name w:val="Texto de balão"/>
    <w:basedOn w:val="Normal"/>
    <w:qFormat/>
    <w:pPr/>
    <w:rPr>
      <w:rFonts w:ascii="Segoe UI" w:hAnsi="Segoe UI" w:cs="Segoe UI"/>
      <w:sz w:val="18"/>
      <w:szCs w:val="18"/>
      <w:lang w:val="pt-BR"/>
    </w:rPr>
  </w:style>
  <w:style w:type="paragraph" w:styleId="Standard">
    <w:name w:val="Standard"/>
    <w:qFormat/>
    <w:pPr>
      <w:widowControl w:val="false"/>
      <w:suppressAutoHyphens w:val="true"/>
      <w:bidi w:val="0"/>
      <w:textAlignment w:val="baseline"/>
    </w:pPr>
    <w:rPr>
      <w:rFonts w:ascii="Times New Roman" w:hAnsi="Times New Roman" w:eastAsia="Arial Unicode MS" w:cs="Tahoma"/>
      <w:color w:val="auto"/>
      <w:kern w:val="2"/>
      <w:sz w:val="24"/>
      <w:szCs w:val="24"/>
      <w:lang w:val="pt-BR" w:eastAsia="zh-CN" w:bidi="hi-IN"/>
    </w:rPr>
  </w:style>
  <w:style w:type="paragraph" w:styleId="Textodecomentrio">
    <w:name w:val="Texto de comentário"/>
    <w:basedOn w:val="Normal"/>
    <w:qFormat/>
    <w:pPr/>
    <w:rPr>
      <w:sz w:val="20"/>
      <w:szCs w:val="20"/>
    </w:rPr>
  </w:style>
  <w:style w:type="paragraph" w:styleId="Assuntodocomentrio">
    <w:name w:val="Assunto do comentário"/>
    <w:basedOn w:val="Textodecomentrio"/>
    <w:next w:val="Textodecomentrio"/>
    <w:qFormat/>
    <w:pPr/>
    <w:rPr>
      <w:b/>
      <w:bCs/>
      <w:lang w:val="pt-BR"/>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ListParagraph">
    <w:name w:val="List Paragraph"/>
    <w:basedOn w:val="Normal"/>
    <w:qFormat/>
    <w:pPr>
      <w:spacing w:before="0" w:after="0"/>
      <w:ind w:left="720" w:right="0" w:hanging="0"/>
      <w:contextualSpacing/>
    </w:pPr>
    <w:rPr/>
  </w:style>
  <w:style w:type="numbering" w:styleId="WW8Num1">
    <w:name w:val="WW8Num1"/>
    <w:qFormat/>
  </w:style>
  <w:style w:type="numbering" w:styleId="WW8Num2">
    <w:name w:val="WW8Num2"/>
    <w:qFormat/>
  </w:style>
  <w:style w:type="numbering" w:styleId="WW8Num3">
    <w:name w:val="WW8Num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docProps/app.xml><?xml version="1.0" encoding="utf-8"?>
<Properties xmlns="http://schemas.openxmlformats.org/officeDocument/2006/extended-properties" xmlns:vt="http://schemas.openxmlformats.org/officeDocument/2006/docPropsVTypes">
  <Template>Normal_x0000_</Template>
  <TotalTime>803</TotalTime>
  <Application>LibreOffice/7.5.6.2$Windows_X86_64 LibreOffice_project/f654817fb68d6d4600d7d2f6b647e47729f55f15</Application>
  <AppVersion>15.0000</AppVersion>
  <Pages>5</Pages>
  <Words>2231</Words>
  <Characters>12628</Characters>
  <CharactersWithSpaces>14801</CharactersWithSpaces>
  <Paragraphs>105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2017-02-07T13:50:00Z</dcterms:created>
  <dc:creator>fabiano</dc:creator>
  <dc:description/>
  <dc:language>pt-BR</dc:language>
  <cp:lastModifiedBy/>
  <cp:lastPrinted>2023-10-13T10:36:00Z</cp:lastPrinted>
  <dcterms:modified xsi:type="dcterms:W3CDTF">2023-10-13T11:47:00Z</dcterms:modified>
  <cp:revision>95</cp:revision>
  <dc:subject/>
  <dc:title>MINUTA DE CONTRATO</dc:title>
</cp:coreProperties>
</file>